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823CED" w14:textId="48F1B887" w:rsidR="009256D9" w:rsidRPr="00B55935" w:rsidRDefault="009256D9" w:rsidP="009256D9">
      <w:pPr>
        <w:pStyle w:val="Header"/>
        <w:tabs>
          <w:tab w:val="left" w:pos="8280"/>
        </w:tabs>
        <w:spacing w:line="280" w:lineRule="exact"/>
        <w:jc w:val="both"/>
        <w:rPr>
          <w:rFonts w:ascii="Calibri" w:eastAsia="新細明體" w:hAnsi="Calibri" w:cs="Arial"/>
          <w:noProof w:val="0"/>
          <w:sz w:val="24"/>
          <w:szCs w:val="24"/>
          <w:lang w:eastAsia="ja-JP"/>
        </w:rPr>
      </w:pPr>
      <w:bookmarkStart w:id="0" w:name="_GoBack"/>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sidR="00E27EB9">
        <w:rPr>
          <w:rFonts w:ascii="Calibri" w:eastAsia="新細明體" w:hAnsi="Calibri" w:cs="Arial"/>
          <w:noProof w:val="0"/>
          <w:sz w:val="24"/>
          <w:szCs w:val="24"/>
          <w:lang w:eastAsia="ja-JP"/>
        </w:rPr>
        <w:t>#95-e</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r w:rsidR="00A15AC6" w:rsidRPr="00A15AC6">
        <w:rPr>
          <w:rFonts w:ascii="Calibri" w:eastAsia="新細明體" w:hAnsi="Calibri" w:cs="Arial"/>
          <w:noProof w:val="0"/>
          <w:sz w:val="24"/>
          <w:szCs w:val="24"/>
          <w:lang w:eastAsia="ja-JP"/>
        </w:rPr>
        <w:t>R4-2006577</w:t>
      </w:r>
    </w:p>
    <w:p w14:paraId="516827B0" w14:textId="48F4883B" w:rsidR="009256D9" w:rsidRDefault="00E27EB9" w:rsidP="009256D9">
      <w:pPr>
        <w:ind w:left="1985" w:hanging="1985"/>
        <w:rPr>
          <w:rFonts w:ascii="Calibri" w:eastAsia="新細明體" w:hAnsi="Calibri" w:cs="Arial"/>
          <w:b/>
          <w:sz w:val="24"/>
          <w:szCs w:val="24"/>
          <w:lang w:eastAsia="ja-JP"/>
        </w:rPr>
      </w:pPr>
      <w:r w:rsidRPr="001A2314">
        <w:rPr>
          <w:rFonts w:ascii="Calibri" w:eastAsia="新細明體" w:hAnsi="Calibri" w:cs="Arial"/>
          <w:b/>
          <w:sz w:val="24"/>
          <w:szCs w:val="24"/>
          <w:lang w:eastAsia="ja-JP"/>
        </w:rPr>
        <w:t xml:space="preserve">Electronic Meeting, </w:t>
      </w:r>
      <w:r w:rsidRPr="009C10A0">
        <w:rPr>
          <w:rFonts w:ascii="Calibri" w:eastAsia="新細明體" w:hAnsi="Calibri" w:cs="Arial"/>
          <w:b/>
          <w:sz w:val="24"/>
          <w:szCs w:val="24"/>
          <w:lang w:eastAsia="ja-JP"/>
        </w:rPr>
        <w:t>25 May – 5 June</w:t>
      </w:r>
      <w:r w:rsidRPr="00E05CF0">
        <w:rPr>
          <w:rFonts w:ascii="Calibri" w:eastAsia="新細明體" w:hAnsi="Calibri" w:cs="Arial"/>
          <w:b/>
          <w:sz w:val="24"/>
          <w:szCs w:val="24"/>
          <w:lang w:eastAsia="ja-JP"/>
        </w:rPr>
        <w:t>, 2020</w:t>
      </w:r>
    </w:p>
    <w:p w14:paraId="5A2B6F46" w14:textId="77777777" w:rsidR="003620A4" w:rsidRPr="002F29E4" w:rsidRDefault="003620A4" w:rsidP="003620A4">
      <w:pPr>
        <w:pStyle w:val="Header"/>
        <w:rPr>
          <w:rFonts w:ascii="Calibri" w:eastAsia="新細明體" w:hAnsi="Calibri"/>
          <w:sz w:val="24"/>
          <w:highlight w:val="yellow"/>
          <w:lang w:eastAsia="zh-TW"/>
        </w:rPr>
      </w:pPr>
    </w:p>
    <w:p w14:paraId="6352570E" w14:textId="418A610E" w:rsidR="00FB1EA3" w:rsidRPr="00F52EE4" w:rsidRDefault="003620A4" w:rsidP="003620A4">
      <w:pPr>
        <w:ind w:left="1985" w:hanging="1985"/>
        <w:rPr>
          <w:rFonts w:cs="Arial"/>
          <w:b/>
          <w:bCs/>
        </w:rPr>
      </w:pPr>
      <w:r w:rsidRPr="00C57C45">
        <w:rPr>
          <w:rFonts w:cs="Arial"/>
          <w:b/>
          <w:bCs/>
        </w:rPr>
        <w:t xml:space="preserve">Agenda </w:t>
      </w:r>
      <w:r w:rsidRPr="00723515">
        <w:rPr>
          <w:rFonts w:cs="Arial"/>
          <w:b/>
          <w:bCs/>
        </w:rPr>
        <w:t>Item:</w:t>
      </w:r>
      <w:r w:rsidR="00FB1EA3" w:rsidRPr="00723515">
        <w:rPr>
          <w:rFonts w:cs="Arial"/>
          <w:b/>
          <w:bCs/>
        </w:rPr>
        <w:tab/>
      </w:r>
      <w:r w:rsidR="00D73D2D">
        <w:rPr>
          <w:rFonts w:cs="Arial"/>
          <w:b/>
          <w:bCs/>
        </w:rPr>
        <w:t>4.4.1.2</w:t>
      </w:r>
      <w:r w:rsidR="00C14B44">
        <w:rPr>
          <w:rFonts w:cs="Arial"/>
          <w:b/>
          <w:bCs/>
        </w:rPr>
        <w:t>5</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62CDAEDE" w:rsidR="00174EC2" w:rsidRDefault="0034111C" w:rsidP="007A4FCF">
      <w:pPr>
        <w:ind w:left="1985" w:hanging="1985"/>
        <w:rPr>
          <w:rFonts w:cs="Arial"/>
          <w:b/>
          <w:bCs/>
        </w:rPr>
      </w:pPr>
      <w:r w:rsidRPr="000C45FD">
        <w:rPr>
          <w:rFonts w:cs="Arial"/>
          <w:b/>
          <w:bCs/>
        </w:rPr>
        <w:t>Title:</w:t>
      </w:r>
      <w:r w:rsidRPr="000C45FD">
        <w:rPr>
          <w:rFonts w:cs="Arial"/>
          <w:b/>
          <w:bCs/>
        </w:rPr>
        <w:tab/>
      </w:r>
      <w:r w:rsidR="00D73D2D">
        <w:rPr>
          <w:rFonts w:cs="Arial"/>
          <w:b/>
          <w:bCs/>
        </w:rPr>
        <w:t>Discussion on h</w:t>
      </w:r>
      <w:r w:rsidR="00D73D2D" w:rsidRPr="00D73D2D">
        <w:rPr>
          <w:rFonts w:cs="Arial"/>
          <w:b/>
          <w:bCs/>
        </w:rPr>
        <w:t xml:space="preserve">andling of </w:t>
      </w:r>
      <w:r w:rsidR="00E84E28">
        <w:rPr>
          <w:rFonts w:cs="Arial"/>
          <w:b/>
          <w:bCs/>
        </w:rPr>
        <w:t>f</w:t>
      </w:r>
      <w:r w:rsidR="00D73D2D" w:rsidRPr="00D73D2D">
        <w:rPr>
          <w:rFonts w:cs="Arial"/>
          <w:b/>
          <w:bCs/>
        </w:rPr>
        <w:t>allbacks for combined contiguous and non-contiguous CA or DC configurations in FR2</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5E7E7A98" w14:textId="20AF7098" w:rsidR="00691A69" w:rsidRPr="00842EE0" w:rsidRDefault="00621263" w:rsidP="00D73D2D">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In the </w:t>
      </w:r>
      <w:r w:rsidR="00D73D2D">
        <w:rPr>
          <w:rFonts w:asciiTheme="minorHAnsi" w:eastAsiaTheme="minorEastAsia" w:hAnsiTheme="minorHAnsi" w:cstheme="minorBidi"/>
          <w:color w:val="auto"/>
          <w:sz w:val="22"/>
          <w:szCs w:val="22"/>
        </w:rPr>
        <w:t>LS [1], RAN2 replied the LS regarding h</w:t>
      </w:r>
      <w:r w:rsidR="00D73D2D" w:rsidRPr="00D73D2D">
        <w:rPr>
          <w:rFonts w:asciiTheme="minorHAnsi" w:eastAsiaTheme="minorEastAsia" w:hAnsiTheme="minorHAnsi" w:cstheme="minorBidi"/>
          <w:color w:val="auto"/>
          <w:sz w:val="22"/>
          <w:szCs w:val="22"/>
        </w:rPr>
        <w:t>andling of Fallbacks for combined contiguous and non-contiguous CA or DC configurations in FR2</w:t>
      </w:r>
      <w:r w:rsidR="00D73D2D">
        <w:rPr>
          <w:rFonts w:asciiTheme="minorHAnsi" w:eastAsiaTheme="minorEastAsia" w:hAnsiTheme="minorHAnsi" w:cstheme="minorBidi"/>
          <w:color w:val="auto"/>
          <w:sz w:val="22"/>
          <w:szCs w:val="22"/>
        </w:rPr>
        <w:t xml:space="preserve"> as well as asking RAN4 some questions for clarification. In this paper, we</w:t>
      </w:r>
      <w:r w:rsidR="00390869">
        <w:rPr>
          <w:rFonts w:asciiTheme="minorHAnsi" w:eastAsiaTheme="minorEastAsia" w:hAnsiTheme="minorHAnsi" w:cstheme="minorBidi"/>
          <w:color w:val="auto"/>
          <w:sz w:val="22"/>
          <w:szCs w:val="22"/>
        </w:rPr>
        <w:t xml:space="preserve"> discuss this issue and prepare</w:t>
      </w:r>
      <w:r w:rsidR="00D73D2D">
        <w:rPr>
          <w:rFonts w:asciiTheme="minorHAnsi" w:eastAsiaTheme="minorEastAsia" w:hAnsiTheme="minorHAnsi" w:cstheme="minorBidi"/>
          <w:color w:val="auto"/>
          <w:sz w:val="22"/>
          <w:szCs w:val="22"/>
        </w:rPr>
        <w:t xml:space="preserve"> the answer to RAN2’s questions.</w:t>
      </w:r>
    </w:p>
    <w:p w14:paraId="15570B2A" w14:textId="6725008E" w:rsidR="00486D1A" w:rsidRDefault="00974EE8" w:rsidP="008F1284">
      <w:pPr>
        <w:pStyle w:val="Heading1"/>
        <w:numPr>
          <w:ilvl w:val="0"/>
          <w:numId w:val="1"/>
        </w:numPr>
        <w:rPr>
          <w:rFonts w:ascii="Calibri" w:hAnsi="Calibri"/>
        </w:rPr>
      </w:pPr>
      <w:r>
        <w:rPr>
          <w:rFonts w:ascii="Calibri" w:hAnsi="Calibri"/>
        </w:rPr>
        <w:t>Discussion</w:t>
      </w:r>
    </w:p>
    <w:p w14:paraId="4AFCCE75" w14:textId="79DDE751" w:rsidR="00087E61" w:rsidRPr="00D73D2D" w:rsidRDefault="00D73D2D" w:rsidP="00C81DFC">
      <w:pPr>
        <w:pStyle w:val="Caption"/>
        <w:rPr>
          <w:b w:val="0"/>
          <w:sz w:val="22"/>
          <w:szCs w:val="22"/>
        </w:rPr>
      </w:pPr>
      <w:r w:rsidRPr="00D73D2D">
        <w:rPr>
          <w:b w:val="0"/>
          <w:sz w:val="22"/>
          <w:szCs w:val="22"/>
        </w:rPr>
        <w:t>Fallback band combination (BC) is clearly defined in TS38.306.</w:t>
      </w:r>
    </w:p>
    <w:tbl>
      <w:tblPr>
        <w:tblStyle w:val="TableGrid"/>
        <w:tblW w:w="0" w:type="auto"/>
        <w:tblLook w:val="04A0" w:firstRow="1" w:lastRow="0" w:firstColumn="1" w:lastColumn="0" w:noHBand="0" w:noVBand="1"/>
      </w:tblPr>
      <w:tblGrid>
        <w:gridCol w:w="9629"/>
      </w:tblGrid>
      <w:tr w:rsidR="00D73D2D" w14:paraId="04346A54" w14:textId="77777777" w:rsidTr="00D73D2D">
        <w:tc>
          <w:tcPr>
            <w:tcW w:w="9629" w:type="dxa"/>
          </w:tcPr>
          <w:p w14:paraId="5C7B6090" w14:textId="5E7C069A" w:rsidR="00D73D2D" w:rsidRPr="00D73D2D" w:rsidRDefault="00D73D2D" w:rsidP="00D73D2D">
            <w:pPr>
              <w:rPr>
                <w:lang w:eastAsia="x-none"/>
              </w:rPr>
            </w:pPr>
            <w:r w:rsidRPr="00EC0F54">
              <w:rPr>
                <w:b/>
                <w:lang w:eastAsia="zh-CN"/>
              </w:rPr>
              <w:t>Fallback band combination:</w:t>
            </w:r>
            <w:r w:rsidRPr="00EC0F54">
              <w:rPr>
                <w:lang w:eastAsia="zh-CN"/>
              </w:rPr>
              <w:t xml:space="preserve"> A band combination that would result from another band combination by releasing at least one SCell or uplink configuration of SCell, or SCG. An intra-band non-contiguous band combination is not considered to be a fallback band combination of an intra-band contiguous band combination.</w:t>
            </w:r>
          </w:p>
        </w:tc>
      </w:tr>
    </w:tbl>
    <w:p w14:paraId="510016CB" w14:textId="77777777" w:rsidR="00D73D2D" w:rsidRDefault="00D73D2D" w:rsidP="00D73D2D">
      <w:pPr>
        <w:rPr>
          <w:lang w:val="x-none" w:eastAsia="x-none"/>
        </w:rPr>
      </w:pPr>
    </w:p>
    <w:p w14:paraId="57162047" w14:textId="422BA9A9" w:rsidR="00D73D2D" w:rsidRDefault="00D73D2D" w:rsidP="00C362AE">
      <w:pPr>
        <w:jc w:val="both"/>
        <w:rPr>
          <w:lang w:val="x-none" w:eastAsia="x-none"/>
        </w:rPr>
      </w:pPr>
      <w:r>
        <w:rPr>
          <w:lang w:val="x-none" w:eastAsia="x-none"/>
        </w:rPr>
        <w:t xml:space="preserve">At the same time TS38.331 indicates that UE does not need to report </w:t>
      </w:r>
      <w:r w:rsidR="00826E82">
        <w:rPr>
          <w:lang w:val="x-none" w:eastAsia="x-none"/>
        </w:rPr>
        <w:t xml:space="preserve">a </w:t>
      </w:r>
      <w:r>
        <w:rPr>
          <w:lang w:val="x-none" w:eastAsia="x-none"/>
        </w:rPr>
        <w:t xml:space="preserve">fallback BC if the corresponding capabilities of this fallback band combination can be found in other </w:t>
      </w:r>
      <w:r w:rsidR="00C362AE">
        <w:rPr>
          <w:lang w:val="x-none" w:eastAsia="x-none"/>
        </w:rPr>
        <w:t>BCs.</w:t>
      </w:r>
    </w:p>
    <w:tbl>
      <w:tblPr>
        <w:tblStyle w:val="TableGrid"/>
        <w:tblW w:w="0" w:type="auto"/>
        <w:tblLook w:val="04A0" w:firstRow="1" w:lastRow="0" w:firstColumn="1" w:lastColumn="0" w:noHBand="0" w:noVBand="1"/>
      </w:tblPr>
      <w:tblGrid>
        <w:gridCol w:w="9629"/>
      </w:tblGrid>
      <w:tr w:rsidR="00D73D2D" w14:paraId="1E18020F" w14:textId="77777777" w:rsidTr="00D73D2D">
        <w:tc>
          <w:tcPr>
            <w:tcW w:w="9629" w:type="dxa"/>
          </w:tcPr>
          <w:p w14:paraId="1A13C834" w14:textId="77777777" w:rsidR="00D73D2D" w:rsidRPr="00F537EB" w:rsidRDefault="00D73D2D" w:rsidP="00D73D2D">
            <w:pPr>
              <w:pStyle w:val="B2"/>
            </w:pPr>
            <w:r w:rsidRPr="00F537EB">
              <w:t>2&gt;</w:t>
            </w:r>
            <w:r w:rsidRPr="00F537EB">
              <w:tab/>
              <w:t>if it is regarded as a fallback band combination with the same capabilities of another band combination included in the list of "candidate band combinations", and</w:t>
            </w:r>
          </w:p>
          <w:p w14:paraId="03F422B3" w14:textId="77777777" w:rsidR="00D73D2D" w:rsidRPr="00F537EB" w:rsidRDefault="00D73D2D" w:rsidP="00D73D2D">
            <w:pPr>
              <w:pStyle w:val="B2"/>
            </w:pPr>
            <w:r w:rsidRPr="00F537EB">
              <w:t>2&gt;</w:t>
            </w:r>
            <w:r w:rsidRPr="00F537EB">
              <w:tab/>
              <w:t>if this fallback band combination is generated by releasing at least one SCell or uplink configuration of SCell according to TS 38.306 [26]:</w:t>
            </w:r>
          </w:p>
          <w:p w14:paraId="6AE63F51" w14:textId="0B81CE0A" w:rsidR="00D73D2D" w:rsidRPr="00D73D2D" w:rsidRDefault="00D73D2D" w:rsidP="00D73D2D">
            <w:pPr>
              <w:pStyle w:val="B3"/>
              <w:rPr>
                <w:lang w:eastAsia="x-none"/>
              </w:rPr>
            </w:pPr>
            <w:r w:rsidRPr="00F537EB">
              <w:t>3&gt;</w:t>
            </w:r>
            <w:r w:rsidRPr="00F537EB">
              <w:tab/>
              <w:t>remove the band combination from the list of "candidate band combinations";</w:t>
            </w:r>
          </w:p>
        </w:tc>
      </w:tr>
    </w:tbl>
    <w:p w14:paraId="660BA5FE" w14:textId="77777777" w:rsidR="00D73D2D" w:rsidRDefault="00D73D2D" w:rsidP="00D73D2D">
      <w:pPr>
        <w:rPr>
          <w:lang w:val="x-none" w:eastAsia="x-none"/>
        </w:rPr>
      </w:pPr>
    </w:p>
    <w:p w14:paraId="10E34BB9" w14:textId="44099788" w:rsidR="00C362AE" w:rsidRDefault="00C362AE" w:rsidP="000D5E8A">
      <w:pPr>
        <w:jc w:val="both"/>
        <w:rPr>
          <w:lang w:val="x-none" w:eastAsia="x-none"/>
        </w:rPr>
      </w:pPr>
      <w:r>
        <w:rPr>
          <w:lang w:val="x-none" w:eastAsia="x-none"/>
        </w:rPr>
        <w:t>Therefore, based on RAN2 spec, skipping the capability report of those fallback BC</w:t>
      </w:r>
      <w:r w:rsidR="00826E82">
        <w:rPr>
          <w:lang w:val="x-none" w:eastAsia="x-none"/>
        </w:rPr>
        <w:t>s</w:t>
      </w:r>
      <w:r w:rsidR="008D5A13">
        <w:rPr>
          <w:lang w:val="x-none" w:eastAsia="x-none"/>
        </w:rPr>
        <w:t xml:space="preserve"> is allowed. </w:t>
      </w:r>
      <w:r w:rsidR="000D5E8A">
        <w:rPr>
          <w:lang w:val="x-none" w:eastAsia="x-none"/>
        </w:rPr>
        <w:t>One</w:t>
      </w:r>
      <w:r w:rsidR="008D5A13">
        <w:rPr>
          <w:lang w:val="x-none" w:eastAsia="x-none"/>
        </w:rPr>
        <w:t xml:space="preserve"> intention</w:t>
      </w:r>
      <w:r>
        <w:rPr>
          <w:lang w:val="x-none" w:eastAsia="x-none"/>
        </w:rPr>
        <w:t xml:space="preserve"> is to save the signaling overhead</w:t>
      </w:r>
      <w:r w:rsidR="001F711E">
        <w:rPr>
          <w:lang w:val="x-none" w:eastAsia="x-none"/>
        </w:rPr>
        <w:t xml:space="preserve">. As a result, </w:t>
      </w:r>
      <w:r>
        <w:rPr>
          <w:lang w:val="x-none" w:eastAsia="x-none"/>
        </w:rPr>
        <w:t xml:space="preserve">network </w:t>
      </w:r>
      <w:r w:rsidR="00826E82">
        <w:rPr>
          <w:lang w:val="x-none" w:eastAsia="x-none"/>
        </w:rPr>
        <w:t xml:space="preserve">can </w:t>
      </w:r>
      <w:r>
        <w:rPr>
          <w:lang w:val="x-none" w:eastAsia="x-none"/>
        </w:rPr>
        <w:t>always assumes that UE supports all fallback BCs.</w:t>
      </w:r>
    </w:p>
    <w:p w14:paraId="6269F28C" w14:textId="77777777" w:rsidR="006A7893" w:rsidRDefault="006A7893" w:rsidP="00D73D2D">
      <w:pPr>
        <w:rPr>
          <w:lang w:val="x-none" w:eastAsia="x-none"/>
        </w:rPr>
      </w:pPr>
    </w:p>
    <w:p w14:paraId="4A8BD589" w14:textId="26DF1350" w:rsidR="00C362AE" w:rsidRDefault="00B37A93" w:rsidP="00C362AE">
      <w:pPr>
        <w:pStyle w:val="Caption"/>
      </w:pPr>
      <w:bookmarkStart w:id="1" w:name="_Ref40292214"/>
      <w:bookmarkStart w:id="2" w:name="_Ref40287728"/>
      <w:r>
        <w:t xml:space="preserve">Observation </w:t>
      </w:r>
      <w:r w:rsidR="007C7C95">
        <w:rPr>
          <w:noProof/>
        </w:rPr>
        <w:fldChar w:fldCharType="begin"/>
      </w:r>
      <w:r w:rsidR="007C7C95">
        <w:rPr>
          <w:noProof/>
        </w:rPr>
        <w:instrText xml:space="preserve"> SEQ Observation \* ARABIC </w:instrText>
      </w:r>
      <w:r w:rsidR="007C7C95">
        <w:rPr>
          <w:noProof/>
        </w:rPr>
        <w:fldChar w:fldCharType="separate"/>
      </w:r>
      <w:r w:rsidR="00A83DE6">
        <w:rPr>
          <w:noProof/>
        </w:rPr>
        <w:t>1</w:t>
      </w:r>
      <w:r w:rsidR="007C7C95">
        <w:rPr>
          <w:noProof/>
        </w:rPr>
        <w:fldChar w:fldCharType="end"/>
      </w:r>
      <w:bookmarkEnd w:id="1"/>
      <w:r>
        <w:t xml:space="preserve">: </w:t>
      </w:r>
      <w:r w:rsidRPr="00B37A93">
        <w:t>According to current RAN2 spec, UE can skip the capability report of fallback BC, and network can assume that UE supports all fallback BCs</w:t>
      </w:r>
      <w:r>
        <w:t>.</w:t>
      </w:r>
      <w:bookmarkEnd w:id="2"/>
    </w:p>
    <w:p w14:paraId="1C9B4AFB" w14:textId="77777777" w:rsidR="00C362AE" w:rsidRDefault="00C362AE" w:rsidP="00C362AE">
      <w:pPr>
        <w:pStyle w:val="Caption"/>
      </w:pPr>
    </w:p>
    <w:p w14:paraId="29A13D14" w14:textId="2A8FF90E" w:rsidR="00C362AE" w:rsidRPr="008D7996" w:rsidRDefault="00FB104C" w:rsidP="00826E82">
      <w:pPr>
        <w:pStyle w:val="Caption"/>
        <w:jc w:val="both"/>
        <w:rPr>
          <w:b w:val="0"/>
          <w:sz w:val="22"/>
          <w:szCs w:val="22"/>
        </w:rPr>
      </w:pPr>
      <w:r w:rsidRPr="008D7996">
        <w:rPr>
          <w:b w:val="0"/>
          <w:sz w:val="22"/>
          <w:szCs w:val="22"/>
        </w:rPr>
        <w:t xml:space="preserve">In RAN4#92 meeting, CR </w:t>
      </w:r>
      <w:r w:rsidR="008D7996" w:rsidRPr="008D7996">
        <w:rPr>
          <w:b w:val="0"/>
          <w:sz w:val="22"/>
          <w:szCs w:val="22"/>
        </w:rPr>
        <w:t>[2][3] and LS [4] were agreed. The agreement does not require UE to support all possible fallback BC</w:t>
      </w:r>
      <w:r w:rsidR="00826E82">
        <w:rPr>
          <w:b w:val="0"/>
          <w:sz w:val="22"/>
          <w:szCs w:val="22"/>
        </w:rPr>
        <w:t>s</w:t>
      </w:r>
      <w:r w:rsidR="008D7996">
        <w:rPr>
          <w:b w:val="0"/>
          <w:sz w:val="22"/>
          <w:szCs w:val="22"/>
        </w:rPr>
        <w:t xml:space="preserve"> for an </w:t>
      </w:r>
      <w:r w:rsidR="008D7996" w:rsidRPr="008D7996">
        <w:rPr>
          <w:b w:val="0"/>
          <w:sz w:val="22"/>
          <w:szCs w:val="22"/>
        </w:rPr>
        <w:t>FR2 intra-band CA combinations with multiple subblocks, where at least one of the subblocks consists of a contiguous CA combination</w:t>
      </w:r>
      <w:r w:rsidR="008D7996">
        <w:rPr>
          <w:b w:val="0"/>
          <w:sz w:val="22"/>
          <w:szCs w:val="22"/>
        </w:rPr>
        <w:t>.</w:t>
      </w:r>
    </w:p>
    <w:tbl>
      <w:tblPr>
        <w:tblStyle w:val="TableGrid"/>
        <w:tblW w:w="0" w:type="auto"/>
        <w:tblLook w:val="04A0" w:firstRow="1" w:lastRow="0" w:firstColumn="1" w:lastColumn="0" w:noHBand="0" w:noVBand="1"/>
      </w:tblPr>
      <w:tblGrid>
        <w:gridCol w:w="9629"/>
      </w:tblGrid>
      <w:tr w:rsidR="008D7996" w14:paraId="48897EFC" w14:textId="77777777" w:rsidTr="008D7996">
        <w:tc>
          <w:tcPr>
            <w:tcW w:w="9629" w:type="dxa"/>
          </w:tcPr>
          <w:p w14:paraId="7590A150" w14:textId="791F8F1D" w:rsidR="008D7996" w:rsidRPr="008D7996" w:rsidRDefault="008D7996" w:rsidP="008D7996">
            <w:pPr>
              <w:rPr>
                <w:lang w:eastAsia="x-none"/>
              </w:rPr>
            </w:pPr>
            <w:r>
              <w:lastRenderedPageBreak/>
              <w:t>A terminal which supports CA or DC configurations, which include FR2 intra-band CA combinations with multiple subblocks, where at least one of the subblocks consists of a contiguous CA combination, is not required to support all possible fallback combinations but can directly fall back to a single FR2 carrier. Deactivating carriers within the CA or DC combination is still possible.</w:t>
            </w:r>
          </w:p>
        </w:tc>
      </w:tr>
    </w:tbl>
    <w:p w14:paraId="6FAD64F8" w14:textId="77777777" w:rsidR="008D7996" w:rsidRDefault="008D7996" w:rsidP="008D7996">
      <w:pPr>
        <w:rPr>
          <w:lang w:val="x-none" w:eastAsia="x-none"/>
        </w:rPr>
      </w:pPr>
    </w:p>
    <w:p w14:paraId="56F4B0B7" w14:textId="62BAADFC" w:rsidR="00B37A93" w:rsidRPr="008D7996" w:rsidRDefault="00B37A93" w:rsidP="00B37A93">
      <w:pPr>
        <w:pStyle w:val="Caption"/>
      </w:pPr>
      <w:bookmarkStart w:id="3" w:name="_Ref40292218"/>
      <w:bookmarkStart w:id="4" w:name="_Ref40289577"/>
      <w:r>
        <w:t xml:space="preserve">Observation </w:t>
      </w:r>
      <w:r w:rsidR="007C7C95">
        <w:rPr>
          <w:noProof/>
        </w:rPr>
        <w:fldChar w:fldCharType="begin"/>
      </w:r>
      <w:r w:rsidR="007C7C95">
        <w:rPr>
          <w:noProof/>
        </w:rPr>
        <w:instrText xml:space="preserve"> SEQ Observation \* ARABIC </w:instrText>
      </w:r>
      <w:r w:rsidR="007C7C95">
        <w:rPr>
          <w:noProof/>
        </w:rPr>
        <w:fldChar w:fldCharType="separate"/>
      </w:r>
      <w:r w:rsidR="00A83DE6">
        <w:rPr>
          <w:noProof/>
        </w:rPr>
        <w:t>2</w:t>
      </w:r>
      <w:r w:rsidR="007C7C95">
        <w:rPr>
          <w:noProof/>
        </w:rPr>
        <w:fldChar w:fldCharType="end"/>
      </w:r>
      <w:bookmarkEnd w:id="3"/>
      <w:r>
        <w:t xml:space="preserve">: </w:t>
      </w:r>
      <w:r w:rsidRPr="00B37A93">
        <w:t>RAN4 agreed that UE is not required to support all possible fallback BC for an FR2 intra-band CA combinations with multiple subblocks, where at least one of the subblocks consists of a contiguous CA combination.</w:t>
      </w:r>
      <w:bookmarkEnd w:id="4"/>
    </w:p>
    <w:p w14:paraId="66E59ADC" w14:textId="77777777" w:rsidR="00C362AE" w:rsidRDefault="00C362AE" w:rsidP="00D73D2D">
      <w:pPr>
        <w:rPr>
          <w:lang w:val="x-none" w:eastAsia="x-none"/>
        </w:rPr>
      </w:pPr>
    </w:p>
    <w:p w14:paraId="418399DC" w14:textId="7D5F675E" w:rsidR="003C0717" w:rsidRPr="00B37A93" w:rsidRDefault="008D7996" w:rsidP="00B80CE7">
      <w:pPr>
        <w:pStyle w:val="Caption"/>
        <w:jc w:val="both"/>
        <w:rPr>
          <w:b w:val="0"/>
          <w:sz w:val="22"/>
          <w:szCs w:val="22"/>
        </w:rPr>
      </w:pPr>
      <w:r w:rsidRPr="00B37A93">
        <w:rPr>
          <w:b w:val="0"/>
          <w:sz w:val="22"/>
          <w:szCs w:val="22"/>
        </w:rPr>
        <w:t xml:space="preserve">From </w:t>
      </w:r>
      <w:r w:rsidR="00826E82">
        <w:rPr>
          <w:b w:val="0"/>
          <w:sz w:val="22"/>
          <w:szCs w:val="22"/>
        </w:rPr>
        <w:fldChar w:fldCharType="begin"/>
      </w:r>
      <w:r w:rsidR="00826E82">
        <w:rPr>
          <w:b w:val="0"/>
          <w:sz w:val="22"/>
          <w:szCs w:val="22"/>
        </w:rPr>
        <w:instrText xml:space="preserve"> REF _Ref40292214 \h </w:instrText>
      </w:r>
      <w:r w:rsidR="00826E82">
        <w:rPr>
          <w:b w:val="0"/>
          <w:sz w:val="22"/>
          <w:szCs w:val="22"/>
        </w:rPr>
      </w:r>
      <w:r w:rsidR="00826E82">
        <w:rPr>
          <w:b w:val="0"/>
          <w:sz w:val="22"/>
          <w:szCs w:val="22"/>
        </w:rPr>
        <w:fldChar w:fldCharType="separate"/>
      </w:r>
      <w:r w:rsidR="00A83DE6">
        <w:t xml:space="preserve">Observation </w:t>
      </w:r>
      <w:r w:rsidR="00A83DE6">
        <w:rPr>
          <w:noProof/>
        </w:rPr>
        <w:t>1</w:t>
      </w:r>
      <w:r w:rsidR="00826E82">
        <w:rPr>
          <w:b w:val="0"/>
          <w:sz w:val="22"/>
          <w:szCs w:val="22"/>
        </w:rPr>
        <w:fldChar w:fldCharType="end"/>
      </w:r>
      <w:r w:rsidR="00826E82">
        <w:rPr>
          <w:b w:val="0"/>
          <w:sz w:val="22"/>
          <w:szCs w:val="22"/>
        </w:rPr>
        <w:t xml:space="preserve"> </w:t>
      </w:r>
      <w:r w:rsidRPr="00B37A93">
        <w:rPr>
          <w:b w:val="0"/>
          <w:sz w:val="22"/>
          <w:szCs w:val="22"/>
        </w:rPr>
        <w:t>and</w:t>
      </w:r>
      <w:r w:rsidR="00826E82">
        <w:rPr>
          <w:b w:val="0"/>
          <w:sz w:val="22"/>
          <w:szCs w:val="22"/>
        </w:rPr>
        <w:t xml:space="preserve"> </w:t>
      </w:r>
      <w:r w:rsidR="00826E82">
        <w:rPr>
          <w:b w:val="0"/>
          <w:sz w:val="22"/>
          <w:szCs w:val="22"/>
        </w:rPr>
        <w:fldChar w:fldCharType="begin"/>
      </w:r>
      <w:r w:rsidR="00826E82">
        <w:rPr>
          <w:b w:val="0"/>
          <w:sz w:val="22"/>
          <w:szCs w:val="22"/>
        </w:rPr>
        <w:instrText xml:space="preserve"> REF _Ref40292218 \h </w:instrText>
      </w:r>
      <w:r w:rsidR="00826E82">
        <w:rPr>
          <w:b w:val="0"/>
          <w:sz w:val="22"/>
          <w:szCs w:val="22"/>
        </w:rPr>
      </w:r>
      <w:r w:rsidR="00826E82">
        <w:rPr>
          <w:b w:val="0"/>
          <w:sz w:val="22"/>
          <w:szCs w:val="22"/>
        </w:rPr>
        <w:fldChar w:fldCharType="separate"/>
      </w:r>
      <w:r w:rsidR="00A83DE6">
        <w:t xml:space="preserve">Observation </w:t>
      </w:r>
      <w:r w:rsidR="00A83DE6">
        <w:rPr>
          <w:noProof/>
        </w:rPr>
        <w:t>2</w:t>
      </w:r>
      <w:r w:rsidR="00826E82">
        <w:rPr>
          <w:b w:val="0"/>
          <w:sz w:val="22"/>
          <w:szCs w:val="22"/>
        </w:rPr>
        <w:fldChar w:fldCharType="end"/>
      </w:r>
      <w:r w:rsidRPr="00B37A93">
        <w:rPr>
          <w:b w:val="0"/>
          <w:sz w:val="22"/>
          <w:szCs w:val="22"/>
        </w:rPr>
        <w:t xml:space="preserve">, we can see contradiction between current RAN2 and RAN4 spec. </w:t>
      </w:r>
      <w:r w:rsidR="00B80CE7">
        <w:rPr>
          <w:b w:val="0"/>
          <w:sz w:val="22"/>
          <w:szCs w:val="22"/>
        </w:rPr>
        <w:t xml:space="preserve">As a result, </w:t>
      </w:r>
      <w:r w:rsidR="003C0717" w:rsidRPr="00B37A93">
        <w:rPr>
          <w:b w:val="0"/>
          <w:sz w:val="22"/>
          <w:szCs w:val="22"/>
        </w:rPr>
        <w:t>RAN2 discuss</w:t>
      </w:r>
      <w:r w:rsidR="00B80CE7">
        <w:rPr>
          <w:b w:val="0"/>
          <w:sz w:val="22"/>
          <w:szCs w:val="22"/>
        </w:rPr>
        <w:t>ed</w:t>
      </w:r>
      <w:r w:rsidR="003C0717" w:rsidRPr="00B37A93">
        <w:rPr>
          <w:b w:val="0"/>
          <w:sz w:val="22"/>
          <w:szCs w:val="22"/>
        </w:rPr>
        <w:t xml:space="preserve"> how to revise the spec to accommodate RAN4’s agreement, but </w:t>
      </w:r>
      <w:r w:rsidR="00B80CE7">
        <w:rPr>
          <w:b w:val="0"/>
          <w:sz w:val="22"/>
          <w:szCs w:val="22"/>
        </w:rPr>
        <w:t>the exact solution is not concluded yet</w:t>
      </w:r>
      <w:r w:rsidR="003C0717" w:rsidRPr="00B37A93">
        <w:rPr>
          <w:b w:val="0"/>
          <w:sz w:val="22"/>
          <w:szCs w:val="22"/>
        </w:rPr>
        <w:t xml:space="preserve">. Therefore, an LS </w:t>
      </w:r>
      <w:r w:rsidR="00B80CE7">
        <w:rPr>
          <w:b w:val="0"/>
          <w:sz w:val="22"/>
          <w:szCs w:val="22"/>
        </w:rPr>
        <w:t xml:space="preserve">[1] </w:t>
      </w:r>
      <w:r w:rsidR="003C0717" w:rsidRPr="00B37A93">
        <w:rPr>
          <w:b w:val="0"/>
          <w:sz w:val="22"/>
          <w:szCs w:val="22"/>
        </w:rPr>
        <w:t xml:space="preserve">was sent to RAN4 for some further clarification. </w:t>
      </w:r>
    </w:p>
    <w:p w14:paraId="0570CBC9" w14:textId="77777777" w:rsidR="003C0717" w:rsidRDefault="003C0717" w:rsidP="00D73D2D">
      <w:pPr>
        <w:rPr>
          <w:lang w:val="x-none" w:eastAsia="x-none"/>
        </w:rPr>
      </w:pPr>
    </w:p>
    <w:p w14:paraId="11D415CE" w14:textId="2FD7D326" w:rsidR="00456CEE" w:rsidRDefault="00456CEE" w:rsidP="00D73D2D">
      <w:pPr>
        <w:rPr>
          <w:lang w:val="x-none" w:eastAsia="x-none"/>
        </w:rPr>
      </w:pPr>
      <w:r>
        <w:rPr>
          <w:lang w:val="x-none" w:eastAsia="x-none"/>
        </w:rPr>
        <w:t>Our preference to resolve this issue is to keep same agreement made in RAN4, and leave it to RAN2 on how to address it in the RRC signalling. The reasons are</w:t>
      </w:r>
    </w:p>
    <w:p w14:paraId="3D21E7D8" w14:textId="77777777" w:rsidR="00456CEE" w:rsidRPr="00456CEE" w:rsidRDefault="003C0717" w:rsidP="00456CEE">
      <w:pPr>
        <w:pStyle w:val="ListParagraph"/>
        <w:numPr>
          <w:ilvl w:val="0"/>
          <w:numId w:val="39"/>
        </w:numPr>
        <w:jc w:val="both"/>
        <w:rPr>
          <w:lang w:val="x-none" w:eastAsia="x-none"/>
        </w:rPr>
      </w:pPr>
      <w:r w:rsidRPr="00456CEE">
        <w:rPr>
          <w:lang w:val="x-none" w:eastAsia="x-none"/>
        </w:rPr>
        <w:t xml:space="preserve">In our view, band combination supporting and related detail requirement are within RAN4’s scope, but not RAN2. Just like all the other topics, technical discussion happens within RAN4 and the conclusions are informed to RAN2 for the help of adding ASN.1 code. </w:t>
      </w:r>
    </w:p>
    <w:p w14:paraId="3088D7F7" w14:textId="77777777" w:rsidR="00456CEE" w:rsidRDefault="003C0717" w:rsidP="00456CEE">
      <w:pPr>
        <w:pStyle w:val="ListParagraph"/>
        <w:numPr>
          <w:ilvl w:val="0"/>
          <w:numId w:val="39"/>
        </w:numPr>
        <w:jc w:val="both"/>
        <w:rPr>
          <w:lang w:val="x-none" w:eastAsia="x-none"/>
        </w:rPr>
      </w:pPr>
      <w:r w:rsidRPr="00456CEE">
        <w:rPr>
          <w:lang w:val="x-none" w:eastAsia="x-none"/>
        </w:rPr>
        <w:t xml:space="preserve">During RAN4#92 discussion, TS38.331 already </w:t>
      </w:r>
      <w:r w:rsidR="00456CEE">
        <w:rPr>
          <w:lang w:val="x-none" w:eastAsia="x-none"/>
        </w:rPr>
        <w:t>specifies that</w:t>
      </w:r>
      <w:r w:rsidRPr="00456CEE">
        <w:rPr>
          <w:lang w:val="x-none" w:eastAsia="x-none"/>
        </w:rPr>
        <w:t xml:space="preserve"> UE has to support all fallback, but RAN4 still achieved the agreement. Therefore, it is fair to assume that the impact of RAN2 spec is already considered when RAN4 achieve this agreement in RAN4#92 meeting. </w:t>
      </w:r>
    </w:p>
    <w:p w14:paraId="5B68A4E7" w14:textId="1217C93E" w:rsidR="00456CEE" w:rsidRDefault="00456CEE" w:rsidP="00456CEE">
      <w:pPr>
        <w:pStyle w:val="ListParagraph"/>
        <w:numPr>
          <w:ilvl w:val="0"/>
          <w:numId w:val="39"/>
        </w:numPr>
        <w:jc w:val="both"/>
        <w:rPr>
          <w:lang w:val="x-none" w:eastAsia="x-none"/>
        </w:rPr>
      </w:pPr>
      <w:r>
        <w:rPr>
          <w:lang w:val="x-none" w:eastAsia="x-none"/>
        </w:rPr>
        <w:t>Of course, a</w:t>
      </w:r>
      <w:r w:rsidRPr="00456CEE">
        <w:rPr>
          <w:lang w:val="x-none" w:eastAsia="x-none"/>
        </w:rPr>
        <w:t>greement can be revisited and even changed if there is a consensus in</w:t>
      </w:r>
      <w:r w:rsidR="005017E0">
        <w:rPr>
          <w:lang w:val="x-none" w:eastAsia="x-none"/>
        </w:rPr>
        <w:t xml:space="preserve"> the</w:t>
      </w:r>
      <w:r w:rsidRPr="00456CEE">
        <w:rPr>
          <w:lang w:val="x-none" w:eastAsia="x-none"/>
        </w:rPr>
        <w:t xml:space="preserve"> WG to change it.</w:t>
      </w:r>
      <w:r>
        <w:rPr>
          <w:lang w:val="x-none" w:eastAsia="x-none"/>
        </w:rPr>
        <w:t xml:space="preserve"> So far we do not see the consensus to revise the agreement yet. Therefore, RAN4 should keep the previous agreement.</w:t>
      </w:r>
    </w:p>
    <w:p w14:paraId="310F8E8C" w14:textId="1F366A7A" w:rsidR="00BB1AA4" w:rsidRPr="00BB1AA4" w:rsidRDefault="00BB1AA4" w:rsidP="00504684">
      <w:pPr>
        <w:jc w:val="both"/>
        <w:rPr>
          <w:lang w:val="x-none" w:eastAsia="x-none"/>
        </w:rPr>
      </w:pPr>
      <w:r w:rsidRPr="00BB1AA4">
        <w:rPr>
          <w:lang w:val="x-none" w:eastAsia="x-none"/>
        </w:rPr>
        <w:t>In that case, we suggest to keep RAN4 previous agreement for the moment and focus on answering RAN2’s 2 questions in the reply LS.</w:t>
      </w:r>
      <w:r w:rsidR="00504684">
        <w:rPr>
          <w:lang w:val="x-none" w:eastAsia="x-none"/>
        </w:rPr>
        <w:t xml:space="preserve"> Furthermore, it is still up to RAN2 on which solution they would take to implement RAN4’s agreement in their spec.</w:t>
      </w:r>
    </w:p>
    <w:p w14:paraId="4CA6AB89" w14:textId="77777777" w:rsidR="00BB1AA4" w:rsidRDefault="00BB1AA4" w:rsidP="00E84E28">
      <w:pPr>
        <w:pStyle w:val="Caption"/>
      </w:pPr>
    </w:p>
    <w:p w14:paraId="69F0DDED" w14:textId="1339A9D9" w:rsidR="00E84E28" w:rsidRDefault="00E84E28" w:rsidP="00E84E28">
      <w:pPr>
        <w:pStyle w:val="Caption"/>
      </w:pPr>
      <w:bookmarkStart w:id="5" w:name="_Ref40289451"/>
      <w:bookmarkStart w:id="6" w:name="_Ref40289593"/>
      <w:r>
        <w:t xml:space="preserve">Observation </w:t>
      </w:r>
      <w:r w:rsidR="007C7C95">
        <w:rPr>
          <w:noProof/>
        </w:rPr>
        <w:fldChar w:fldCharType="begin"/>
      </w:r>
      <w:r w:rsidR="007C7C95">
        <w:rPr>
          <w:noProof/>
        </w:rPr>
        <w:instrText xml:space="preserve"> SEQ Observation \* ARABIC </w:instrText>
      </w:r>
      <w:r w:rsidR="007C7C95">
        <w:rPr>
          <w:noProof/>
        </w:rPr>
        <w:fldChar w:fldCharType="separate"/>
      </w:r>
      <w:r w:rsidR="00A83DE6">
        <w:rPr>
          <w:noProof/>
        </w:rPr>
        <w:t>3</w:t>
      </w:r>
      <w:r w:rsidR="007C7C95">
        <w:rPr>
          <w:noProof/>
        </w:rPr>
        <w:fldChar w:fldCharType="end"/>
      </w:r>
      <w:bookmarkEnd w:id="5"/>
      <w:r>
        <w:t>:</w:t>
      </w:r>
      <w:r w:rsidRPr="00E84E28">
        <w:t xml:space="preserve"> </w:t>
      </w:r>
      <w:r>
        <w:t>RAN4 can revert the previous agreement, only if RAN4 achieve</w:t>
      </w:r>
      <w:r w:rsidR="00742FFF">
        <w:t>s</w:t>
      </w:r>
      <w:r>
        <w:t xml:space="preserve"> the consensus to do so.</w:t>
      </w:r>
      <w:bookmarkEnd w:id="6"/>
    </w:p>
    <w:p w14:paraId="74271E24" w14:textId="512E81CF" w:rsidR="00456CEE" w:rsidRDefault="00456CEE" w:rsidP="00F12A36">
      <w:pPr>
        <w:pStyle w:val="Caption"/>
        <w:jc w:val="both"/>
      </w:pPr>
      <w:bookmarkStart w:id="7" w:name="_Ref40289456"/>
      <w:r>
        <w:t xml:space="preserve">Proposal </w:t>
      </w:r>
      <w:r w:rsidR="007C7C95">
        <w:rPr>
          <w:noProof/>
        </w:rPr>
        <w:fldChar w:fldCharType="begin"/>
      </w:r>
      <w:r w:rsidR="007C7C95">
        <w:rPr>
          <w:noProof/>
        </w:rPr>
        <w:instrText xml:space="preserve"> SEQ Proposal \* ARABIC </w:instrText>
      </w:r>
      <w:r w:rsidR="007C7C95">
        <w:rPr>
          <w:noProof/>
        </w:rPr>
        <w:fldChar w:fldCharType="separate"/>
      </w:r>
      <w:r w:rsidR="00A83DE6">
        <w:rPr>
          <w:noProof/>
        </w:rPr>
        <w:t>1</w:t>
      </w:r>
      <w:r w:rsidR="007C7C95">
        <w:rPr>
          <w:noProof/>
        </w:rPr>
        <w:fldChar w:fldCharType="end"/>
      </w:r>
      <w:r>
        <w:t>: Before a consensus</w:t>
      </w:r>
      <w:r w:rsidR="00DD6C23">
        <w:t xml:space="preserve"> to revert the agreement</w:t>
      </w:r>
      <w:r>
        <w:t xml:space="preserve"> is reached, RAN4 sho</w:t>
      </w:r>
      <w:r w:rsidR="00BB1AA4">
        <w:t>uld keep the previous agreement</w:t>
      </w:r>
      <w:r w:rsidR="008B3D05">
        <w:t xml:space="preserve"> and focus on answering the </w:t>
      </w:r>
      <w:r w:rsidR="00BB1AA4">
        <w:t>questions from RAN2 in the reply LS.</w:t>
      </w:r>
      <w:bookmarkEnd w:id="7"/>
    </w:p>
    <w:p w14:paraId="25D7BD37" w14:textId="6DE96758" w:rsidR="00504684" w:rsidRDefault="00504684" w:rsidP="00504684">
      <w:pPr>
        <w:pStyle w:val="Caption"/>
      </w:pPr>
      <w:bookmarkStart w:id="8" w:name="_Ref40292054"/>
      <w:r>
        <w:t xml:space="preserve">Proposal </w:t>
      </w:r>
      <w:r>
        <w:rPr>
          <w:noProof/>
        </w:rPr>
        <w:fldChar w:fldCharType="begin"/>
      </w:r>
      <w:r>
        <w:rPr>
          <w:noProof/>
        </w:rPr>
        <w:instrText xml:space="preserve"> SEQ Proposal \* ARABIC </w:instrText>
      </w:r>
      <w:r>
        <w:rPr>
          <w:noProof/>
        </w:rPr>
        <w:fldChar w:fldCharType="separate"/>
      </w:r>
      <w:r w:rsidR="00A83DE6">
        <w:rPr>
          <w:noProof/>
        </w:rPr>
        <w:t>2</w:t>
      </w:r>
      <w:r>
        <w:rPr>
          <w:noProof/>
        </w:rPr>
        <w:fldChar w:fldCharType="end"/>
      </w:r>
      <w:r>
        <w:t>: It is still up to RAN2 on which solution they would take to implement RAN4’s agreement in their spec.</w:t>
      </w:r>
      <w:bookmarkEnd w:id="8"/>
    </w:p>
    <w:p w14:paraId="0ED1E125" w14:textId="77777777" w:rsidR="00456CEE" w:rsidRDefault="00456CEE" w:rsidP="00456CEE">
      <w:pPr>
        <w:rPr>
          <w:lang w:val="x-none" w:eastAsia="x-none"/>
        </w:rPr>
      </w:pPr>
    </w:p>
    <w:p w14:paraId="6C3FA50D" w14:textId="60ABCFC5" w:rsidR="00BB1AA4" w:rsidRDefault="00BB1AA4" w:rsidP="00456CEE">
      <w:pPr>
        <w:rPr>
          <w:lang w:val="x-none" w:eastAsia="x-none"/>
        </w:rPr>
      </w:pPr>
      <w:r>
        <w:rPr>
          <w:lang w:val="x-none" w:eastAsia="x-none"/>
        </w:rPr>
        <w:t>In the remaining of this paper, we provide our view on the 2 questions.</w:t>
      </w:r>
    </w:p>
    <w:p w14:paraId="628A4C97" w14:textId="77777777" w:rsidR="00456CEE" w:rsidRPr="00456CEE" w:rsidRDefault="00456CEE" w:rsidP="00456CEE">
      <w:pPr>
        <w:rPr>
          <w:b/>
          <w:u w:val="single"/>
          <w:lang w:eastAsia="x-none"/>
        </w:rPr>
      </w:pPr>
      <w:r w:rsidRPr="00456CEE">
        <w:rPr>
          <w:b/>
          <w:u w:val="single"/>
          <w:lang w:eastAsia="x-none"/>
        </w:rPr>
        <w:t>Q1: From RAN4 point of view, what is the criteria to consider a band combination “exceptional”? How will those “exceptional” band combination(s) be captured in the RAN4 specifications?</w:t>
      </w:r>
    </w:p>
    <w:p w14:paraId="6B259650" w14:textId="4EF0EBE7" w:rsidR="00456CEE" w:rsidRDefault="00456CEE" w:rsidP="00BB1AA4">
      <w:pPr>
        <w:ind w:left="284"/>
        <w:jc w:val="both"/>
        <w:rPr>
          <w:lang w:eastAsia="x-none"/>
        </w:rPr>
      </w:pPr>
      <w:r>
        <w:rPr>
          <w:lang w:eastAsia="x-none"/>
        </w:rPr>
        <w:t>In our view, at least one exception comes from the incompletion of RAN4 spec.</w:t>
      </w:r>
      <w:r w:rsidR="006E5F4A">
        <w:rPr>
          <w:lang w:eastAsia="x-none"/>
        </w:rPr>
        <w:t xml:space="preserve"> For some BC, the requirements o</w:t>
      </w:r>
      <w:r>
        <w:rPr>
          <w:lang w:eastAsia="x-none"/>
        </w:rPr>
        <w:t xml:space="preserve">f its corresponding fallback BC are now missing. Without a requirement, UE behavior and performance are undefined. There is a risk to directly enable such a </w:t>
      </w:r>
      <w:r w:rsidR="00712C61">
        <w:rPr>
          <w:lang w:eastAsia="x-none"/>
        </w:rPr>
        <w:t xml:space="preserve">kind of </w:t>
      </w:r>
      <w:r>
        <w:rPr>
          <w:lang w:eastAsia="x-none"/>
        </w:rPr>
        <w:t xml:space="preserve">BC. </w:t>
      </w:r>
    </w:p>
    <w:p w14:paraId="1D5DDBDA" w14:textId="61E49C16" w:rsidR="00456CEE" w:rsidRDefault="00456CEE" w:rsidP="00456CEE">
      <w:pPr>
        <w:rPr>
          <w:b/>
          <w:u w:val="single"/>
          <w:lang w:eastAsia="x-none"/>
        </w:rPr>
      </w:pPr>
      <w:r w:rsidRPr="00456CEE">
        <w:rPr>
          <w:b/>
          <w:u w:val="single"/>
          <w:lang w:eastAsia="x-none"/>
        </w:rPr>
        <w:t>Q2: Does RAN4 foresee a normal (i.e. non “exceptional”) band combination to become an “exceptional” band combination in the future, or vice versa?</w:t>
      </w:r>
    </w:p>
    <w:p w14:paraId="25A62304" w14:textId="70D4CA90" w:rsidR="00E84E28" w:rsidRDefault="00E84E28" w:rsidP="00BB1AA4">
      <w:pPr>
        <w:ind w:left="284"/>
        <w:rPr>
          <w:lang w:eastAsia="x-none"/>
        </w:rPr>
      </w:pPr>
      <w:r>
        <w:rPr>
          <w:lang w:eastAsia="x-none"/>
        </w:rPr>
        <w:lastRenderedPageBreak/>
        <w:t xml:space="preserve">We do not see the possibility of a normal BC to become an exceptional BC in the future. </w:t>
      </w:r>
    </w:p>
    <w:p w14:paraId="2E6BFBD6" w14:textId="77777777" w:rsidR="00E84E28" w:rsidRDefault="00E84E28" w:rsidP="00456CEE">
      <w:pPr>
        <w:rPr>
          <w:lang w:eastAsia="x-none"/>
        </w:rPr>
      </w:pPr>
    </w:p>
    <w:p w14:paraId="303B2E16" w14:textId="50C201FA" w:rsidR="00E84E28" w:rsidRDefault="00E84E28" w:rsidP="00E84E28">
      <w:pPr>
        <w:pStyle w:val="Caption"/>
        <w:rPr>
          <w:lang w:eastAsia="ko-KR"/>
        </w:rPr>
      </w:pPr>
      <w:bookmarkStart w:id="9" w:name="_Ref40289457"/>
      <w:r>
        <w:t xml:space="preserve">Proposal </w:t>
      </w:r>
      <w:r w:rsidR="007C7C95">
        <w:rPr>
          <w:noProof/>
        </w:rPr>
        <w:fldChar w:fldCharType="begin"/>
      </w:r>
      <w:r w:rsidR="007C7C95">
        <w:rPr>
          <w:noProof/>
        </w:rPr>
        <w:instrText xml:space="preserve"> SEQ Proposal \* ARABIC </w:instrText>
      </w:r>
      <w:r w:rsidR="007C7C95">
        <w:rPr>
          <w:noProof/>
        </w:rPr>
        <w:fldChar w:fldCharType="separate"/>
      </w:r>
      <w:r w:rsidR="00A83DE6">
        <w:rPr>
          <w:noProof/>
        </w:rPr>
        <w:t>3</w:t>
      </w:r>
      <w:r w:rsidR="007C7C95">
        <w:rPr>
          <w:noProof/>
        </w:rPr>
        <w:fldChar w:fldCharType="end"/>
      </w:r>
      <w:r>
        <w:t xml:space="preserve">: Answer to Q1 of </w:t>
      </w:r>
      <w:r w:rsidRPr="00FB104C">
        <w:rPr>
          <w:lang w:eastAsia="ko-KR"/>
        </w:rPr>
        <w:t>R2-2004267</w:t>
      </w:r>
      <w:r>
        <w:rPr>
          <w:lang w:eastAsia="ko-KR"/>
        </w:rPr>
        <w:t>: The exceptional band combination could at least be the fallback band combinations without corresponding RF requirements in RAN4 specs.</w:t>
      </w:r>
      <w:bookmarkEnd w:id="9"/>
    </w:p>
    <w:p w14:paraId="625E2518" w14:textId="42C44A14" w:rsidR="00E84E28" w:rsidRDefault="00E84E28" w:rsidP="00E84E28">
      <w:pPr>
        <w:pStyle w:val="Caption"/>
        <w:rPr>
          <w:lang w:eastAsia="ko-KR"/>
        </w:rPr>
      </w:pPr>
      <w:bookmarkStart w:id="10" w:name="_Ref40289459"/>
      <w:r>
        <w:t xml:space="preserve">Proposal </w:t>
      </w:r>
      <w:r w:rsidR="007C7C95">
        <w:rPr>
          <w:noProof/>
        </w:rPr>
        <w:fldChar w:fldCharType="begin"/>
      </w:r>
      <w:r w:rsidR="007C7C95">
        <w:rPr>
          <w:noProof/>
        </w:rPr>
        <w:instrText xml:space="preserve"> SEQ Proposal \* ARABIC </w:instrText>
      </w:r>
      <w:r w:rsidR="007C7C95">
        <w:rPr>
          <w:noProof/>
        </w:rPr>
        <w:fldChar w:fldCharType="separate"/>
      </w:r>
      <w:r w:rsidR="00A83DE6">
        <w:rPr>
          <w:noProof/>
        </w:rPr>
        <w:t>4</w:t>
      </w:r>
      <w:r w:rsidR="007C7C95">
        <w:rPr>
          <w:noProof/>
        </w:rPr>
        <w:fldChar w:fldCharType="end"/>
      </w:r>
      <w:r>
        <w:t>: Answer to Q</w:t>
      </w:r>
      <w:r w:rsidR="00A83DE6">
        <w:t>2</w:t>
      </w:r>
      <w:r>
        <w:t xml:space="preserve"> of </w:t>
      </w:r>
      <w:r w:rsidRPr="00FB104C">
        <w:rPr>
          <w:lang w:eastAsia="ko-KR"/>
        </w:rPr>
        <w:t>R2-2004267</w:t>
      </w:r>
      <w:r>
        <w:rPr>
          <w:lang w:eastAsia="ko-KR"/>
        </w:rPr>
        <w:t>: No</w:t>
      </w:r>
      <w:bookmarkEnd w:id="10"/>
    </w:p>
    <w:p w14:paraId="0D57D6CB" w14:textId="77777777" w:rsidR="00E84E28" w:rsidRPr="00E84E28" w:rsidRDefault="00E84E28" w:rsidP="00E84E28">
      <w:pPr>
        <w:rPr>
          <w:lang w:val="x-none" w:eastAsia="ko-KR"/>
        </w:rPr>
      </w:pPr>
    </w:p>
    <w:p w14:paraId="21AF9809" w14:textId="43ED7B69" w:rsidR="009B5952" w:rsidRPr="009B5952" w:rsidRDefault="00E84E28" w:rsidP="009B5952">
      <w:pPr>
        <w:rPr>
          <w:lang w:val="x-none" w:eastAsia="x-none"/>
        </w:rPr>
      </w:pPr>
      <w:r>
        <w:rPr>
          <w:lang w:eastAsia="x-none"/>
        </w:rPr>
        <w:t xml:space="preserve">A companion LS </w:t>
      </w:r>
      <w:r w:rsidR="00ED3FF8">
        <w:rPr>
          <w:lang w:eastAsia="x-none"/>
        </w:rPr>
        <w:t xml:space="preserve">[5] </w:t>
      </w:r>
      <w:r>
        <w:rPr>
          <w:lang w:eastAsia="x-none"/>
        </w:rPr>
        <w:t>is drafted based on above answers.</w:t>
      </w:r>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t>Summary</w:t>
      </w:r>
    </w:p>
    <w:p w14:paraId="0E4E894A" w14:textId="77777777" w:rsidR="00E84E28" w:rsidRDefault="006F7557" w:rsidP="00D73D2D">
      <w:pPr>
        <w:adjustRightInd w:val="0"/>
        <w:snapToGrid w:val="0"/>
        <w:spacing w:before="180" w:after="120"/>
        <w:jc w:val="both"/>
      </w:pPr>
      <w:r w:rsidRPr="004D05A7">
        <w:rPr>
          <w:rFonts w:hint="eastAsia"/>
        </w:rPr>
        <w:t xml:space="preserve">In this </w:t>
      </w:r>
      <w:r w:rsidRPr="004D05A7">
        <w:t>paper</w:t>
      </w:r>
      <w:r w:rsidR="005C7F0B">
        <w:t xml:space="preserve">, </w:t>
      </w:r>
      <w:r w:rsidR="00E84E28">
        <w:t xml:space="preserve">we discuss the issue about </w:t>
      </w:r>
      <w:r w:rsidR="00E84E28" w:rsidRPr="00E84E28">
        <w:t xml:space="preserve">handling of </w:t>
      </w:r>
      <w:r w:rsidR="00E84E28">
        <w:t>f</w:t>
      </w:r>
      <w:r w:rsidR="00E84E28" w:rsidRPr="00E84E28">
        <w:t>allbacks for combined contiguous and non-contiguous CA or DC configurations in FR2</w:t>
      </w:r>
      <w:r w:rsidR="00E84E28">
        <w:t>. We have the following observations and proposals</w:t>
      </w:r>
    </w:p>
    <w:p w14:paraId="23200A12" w14:textId="7BF0F032" w:rsidR="006A7893" w:rsidRPr="006A7893" w:rsidRDefault="00B37A93" w:rsidP="006A7893">
      <w:pPr>
        <w:pStyle w:val="Caption"/>
        <w:rPr>
          <w:lang w:eastAsia="ko-KR"/>
        </w:rPr>
      </w:pPr>
      <w:r w:rsidRPr="006A7893">
        <w:rPr>
          <w:lang w:eastAsia="ko-KR"/>
        </w:rPr>
        <w:fldChar w:fldCharType="begin"/>
      </w:r>
      <w:r>
        <w:rPr>
          <w:lang w:eastAsia="ko-KR"/>
        </w:rPr>
        <w:instrText xml:space="preserve"> REF _Ref40287728 \h </w:instrText>
      </w:r>
      <w:r w:rsidR="006A7893">
        <w:rPr>
          <w:lang w:eastAsia="ko-KR"/>
        </w:rPr>
        <w:instrText xml:space="preserve"> \* MERGEFORMAT </w:instrText>
      </w:r>
      <w:r w:rsidRPr="006A7893">
        <w:rPr>
          <w:lang w:eastAsia="ko-KR"/>
        </w:rPr>
      </w:r>
      <w:r w:rsidRPr="006A7893">
        <w:rPr>
          <w:lang w:eastAsia="ko-KR"/>
        </w:rPr>
        <w:fldChar w:fldCharType="separate"/>
      </w:r>
      <w:r w:rsidR="00A83DE6">
        <w:rPr>
          <w:lang w:eastAsia="ko-KR"/>
        </w:rPr>
        <w:t>Observation</w:t>
      </w:r>
      <w:r w:rsidR="00A83DE6">
        <w:t xml:space="preserve"> </w:t>
      </w:r>
      <w:r w:rsidR="00A83DE6">
        <w:rPr>
          <w:noProof/>
        </w:rPr>
        <w:t>1</w:t>
      </w:r>
      <w:r w:rsidR="00A83DE6">
        <w:t xml:space="preserve">: </w:t>
      </w:r>
      <w:r w:rsidR="00A83DE6" w:rsidRPr="00B37A93">
        <w:t>According to current RAN2 spec, UE can skip the capability report of fallback BC, and network can assume that UE supports all fallback BCs</w:t>
      </w:r>
      <w:r w:rsidR="00A83DE6">
        <w:t>.</w:t>
      </w:r>
      <w:r w:rsidRPr="006A7893">
        <w:rPr>
          <w:lang w:eastAsia="ko-KR"/>
        </w:rPr>
        <w:fldChar w:fldCharType="end"/>
      </w:r>
    </w:p>
    <w:p w14:paraId="70047F2D" w14:textId="62FC8E11" w:rsidR="006A7893" w:rsidRPr="006A7893" w:rsidRDefault="006A7893" w:rsidP="00D73D2D">
      <w:pPr>
        <w:adjustRightInd w:val="0"/>
        <w:snapToGrid w:val="0"/>
        <w:spacing w:before="180" w:after="120"/>
        <w:jc w:val="both"/>
        <w:rPr>
          <w:b/>
          <w:sz w:val="20"/>
          <w:szCs w:val="20"/>
          <w:lang w:val="x-none" w:eastAsia="ko-KR"/>
        </w:rPr>
      </w:pPr>
      <w:r w:rsidRPr="006A7893">
        <w:rPr>
          <w:b/>
          <w:sz w:val="20"/>
          <w:szCs w:val="20"/>
          <w:lang w:val="x-none" w:eastAsia="ko-KR"/>
        </w:rPr>
        <w:fldChar w:fldCharType="begin"/>
      </w:r>
      <w:r w:rsidRPr="006A7893">
        <w:rPr>
          <w:b/>
          <w:sz w:val="20"/>
          <w:szCs w:val="20"/>
          <w:lang w:val="x-none" w:eastAsia="ko-KR"/>
        </w:rPr>
        <w:instrText xml:space="preserve"> REF _Ref40289577 \h </w:instrText>
      </w:r>
      <w:r>
        <w:rPr>
          <w:b/>
          <w:sz w:val="20"/>
          <w:szCs w:val="20"/>
          <w:lang w:val="x-none" w:eastAsia="ko-KR"/>
        </w:rPr>
        <w:instrText xml:space="preserve"> \* MERGEFORMAT </w:instrText>
      </w:r>
      <w:r w:rsidRPr="006A7893">
        <w:rPr>
          <w:b/>
          <w:sz w:val="20"/>
          <w:szCs w:val="20"/>
          <w:lang w:val="x-none" w:eastAsia="ko-KR"/>
        </w:rPr>
      </w:r>
      <w:r w:rsidRPr="006A7893">
        <w:rPr>
          <w:b/>
          <w:sz w:val="20"/>
          <w:szCs w:val="20"/>
          <w:lang w:val="x-none" w:eastAsia="ko-KR"/>
        </w:rPr>
        <w:fldChar w:fldCharType="separate"/>
      </w:r>
      <w:r w:rsidR="00A83DE6" w:rsidRPr="00A83DE6">
        <w:rPr>
          <w:b/>
          <w:sz w:val="20"/>
          <w:szCs w:val="20"/>
          <w:lang w:val="x-none" w:eastAsia="ko-KR"/>
        </w:rPr>
        <w:t>Observation 2: RAN4 agreed that UE is not required to support all possible fallback BC for an FR2 intra-band CA combinations with multiple subblocks, where at least one of the subblocks consists of a contiguous CA combination.</w:t>
      </w:r>
      <w:r w:rsidRPr="006A7893">
        <w:rPr>
          <w:b/>
          <w:sz w:val="20"/>
          <w:szCs w:val="20"/>
          <w:lang w:val="x-none" w:eastAsia="ko-KR"/>
        </w:rPr>
        <w:fldChar w:fldCharType="end"/>
      </w:r>
    </w:p>
    <w:p w14:paraId="70587A45" w14:textId="0DE30070" w:rsidR="006A7893" w:rsidRPr="006A7893" w:rsidRDefault="006A7893" w:rsidP="00D73D2D">
      <w:pPr>
        <w:adjustRightInd w:val="0"/>
        <w:snapToGrid w:val="0"/>
        <w:spacing w:before="180" w:after="120"/>
        <w:jc w:val="both"/>
        <w:rPr>
          <w:b/>
          <w:sz w:val="20"/>
          <w:szCs w:val="20"/>
          <w:lang w:val="x-none" w:eastAsia="ko-KR"/>
        </w:rPr>
      </w:pPr>
      <w:r w:rsidRPr="006A7893">
        <w:rPr>
          <w:b/>
          <w:sz w:val="20"/>
          <w:szCs w:val="20"/>
          <w:lang w:val="x-none" w:eastAsia="ko-KR"/>
        </w:rPr>
        <w:fldChar w:fldCharType="begin"/>
      </w:r>
      <w:r w:rsidRPr="006A7893">
        <w:rPr>
          <w:b/>
          <w:sz w:val="20"/>
          <w:szCs w:val="20"/>
          <w:lang w:val="x-none" w:eastAsia="ko-KR"/>
        </w:rPr>
        <w:instrText xml:space="preserve"> REF _Ref40289593 \h </w:instrText>
      </w:r>
      <w:r>
        <w:rPr>
          <w:b/>
          <w:sz w:val="20"/>
          <w:szCs w:val="20"/>
          <w:lang w:val="x-none" w:eastAsia="ko-KR"/>
        </w:rPr>
        <w:instrText xml:space="preserve"> \* MERGEFORMAT </w:instrText>
      </w:r>
      <w:r w:rsidRPr="006A7893">
        <w:rPr>
          <w:b/>
          <w:sz w:val="20"/>
          <w:szCs w:val="20"/>
          <w:lang w:val="x-none" w:eastAsia="ko-KR"/>
        </w:rPr>
      </w:r>
      <w:r w:rsidRPr="006A7893">
        <w:rPr>
          <w:b/>
          <w:sz w:val="20"/>
          <w:szCs w:val="20"/>
          <w:lang w:val="x-none" w:eastAsia="ko-KR"/>
        </w:rPr>
        <w:fldChar w:fldCharType="separate"/>
      </w:r>
      <w:r w:rsidR="00A83DE6" w:rsidRPr="00A83DE6">
        <w:rPr>
          <w:b/>
          <w:sz w:val="20"/>
          <w:szCs w:val="20"/>
          <w:lang w:val="x-none" w:eastAsia="ko-KR"/>
        </w:rPr>
        <w:t>Observation 3: RAN4 can revert the previous agreement, only if RAN4 achieves the consensus to do so.</w:t>
      </w:r>
      <w:r w:rsidRPr="006A7893">
        <w:rPr>
          <w:b/>
          <w:sz w:val="20"/>
          <w:szCs w:val="20"/>
          <w:lang w:val="x-none" w:eastAsia="ko-KR"/>
        </w:rPr>
        <w:fldChar w:fldCharType="end"/>
      </w:r>
    </w:p>
    <w:p w14:paraId="561278D4" w14:textId="58948F7E" w:rsidR="006A7893" w:rsidRDefault="00B37A93" w:rsidP="00D73D2D">
      <w:pPr>
        <w:adjustRightInd w:val="0"/>
        <w:snapToGrid w:val="0"/>
        <w:spacing w:before="180" w:after="120"/>
        <w:jc w:val="both"/>
        <w:rPr>
          <w:b/>
          <w:sz w:val="20"/>
          <w:szCs w:val="20"/>
          <w:lang w:val="x-none" w:eastAsia="ko-KR"/>
        </w:rPr>
      </w:pPr>
      <w:r w:rsidRPr="006A7893">
        <w:rPr>
          <w:b/>
          <w:sz w:val="20"/>
          <w:szCs w:val="20"/>
          <w:lang w:val="x-none" w:eastAsia="ko-KR"/>
        </w:rPr>
        <w:fldChar w:fldCharType="begin"/>
      </w:r>
      <w:r w:rsidRPr="006A7893">
        <w:rPr>
          <w:b/>
          <w:sz w:val="20"/>
          <w:szCs w:val="20"/>
          <w:lang w:val="x-none" w:eastAsia="ko-KR"/>
        </w:rPr>
        <w:instrText xml:space="preserve"> REF _Ref40289456 \h </w:instrText>
      </w:r>
      <w:r w:rsidR="006A7893">
        <w:rPr>
          <w:b/>
          <w:sz w:val="20"/>
          <w:szCs w:val="20"/>
          <w:lang w:val="x-none" w:eastAsia="ko-KR"/>
        </w:rPr>
        <w:instrText xml:space="preserve"> \* MERGEFORMAT </w:instrText>
      </w:r>
      <w:r w:rsidRPr="006A7893">
        <w:rPr>
          <w:b/>
          <w:sz w:val="20"/>
          <w:szCs w:val="20"/>
          <w:lang w:val="x-none" w:eastAsia="ko-KR"/>
        </w:rPr>
      </w:r>
      <w:r w:rsidRPr="006A7893">
        <w:rPr>
          <w:b/>
          <w:sz w:val="20"/>
          <w:szCs w:val="20"/>
          <w:lang w:val="x-none" w:eastAsia="ko-KR"/>
        </w:rPr>
        <w:fldChar w:fldCharType="separate"/>
      </w:r>
      <w:r w:rsidR="00A83DE6" w:rsidRPr="00A83DE6">
        <w:rPr>
          <w:b/>
          <w:sz w:val="20"/>
          <w:szCs w:val="20"/>
          <w:lang w:val="x-none" w:eastAsia="ko-KR"/>
        </w:rPr>
        <w:t xml:space="preserve">Proposal 1: Before a consensus to revert the agreement is reached, RAN4 should keep the previous agreement and focus on answering the questions from RAN2 in </w:t>
      </w:r>
      <w:r w:rsidR="00A83DE6">
        <w:t>the reply LS.</w:t>
      </w:r>
      <w:r w:rsidRPr="006A7893">
        <w:rPr>
          <w:b/>
          <w:sz w:val="20"/>
          <w:szCs w:val="20"/>
          <w:lang w:val="x-none" w:eastAsia="ko-KR"/>
        </w:rPr>
        <w:fldChar w:fldCharType="end"/>
      </w:r>
    </w:p>
    <w:p w14:paraId="54F73852" w14:textId="408E22CD" w:rsidR="00504684" w:rsidRPr="006A7893" w:rsidRDefault="00504684" w:rsidP="00D73D2D">
      <w:pPr>
        <w:adjustRightInd w:val="0"/>
        <w:snapToGrid w:val="0"/>
        <w:spacing w:before="180" w:after="120"/>
        <w:jc w:val="both"/>
        <w:rPr>
          <w:b/>
          <w:sz w:val="20"/>
          <w:szCs w:val="20"/>
          <w:lang w:val="x-none" w:eastAsia="ko-KR"/>
        </w:rPr>
      </w:pPr>
      <w:r>
        <w:rPr>
          <w:b/>
          <w:sz w:val="20"/>
          <w:szCs w:val="20"/>
          <w:lang w:val="x-none" w:eastAsia="ko-KR"/>
        </w:rPr>
        <w:fldChar w:fldCharType="begin"/>
      </w:r>
      <w:r>
        <w:rPr>
          <w:b/>
          <w:sz w:val="20"/>
          <w:szCs w:val="20"/>
          <w:lang w:val="x-none" w:eastAsia="ko-KR"/>
        </w:rPr>
        <w:instrText xml:space="preserve"> REF _Ref40292054 \h  \* MERGEFORMAT </w:instrText>
      </w:r>
      <w:r>
        <w:rPr>
          <w:b/>
          <w:sz w:val="20"/>
          <w:szCs w:val="20"/>
          <w:lang w:val="x-none" w:eastAsia="ko-KR"/>
        </w:rPr>
      </w:r>
      <w:r>
        <w:rPr>
          <w:b/>
          <w:sz w:val="20"/>
          <w:szCs w:val="20"/>
          <w:lang w:val="x-none" w:eastAsia="ko-KR"/>
        </w:rPr>
        <w:fldChar w:fldCharType="separate"/>
      </w:r>
      <w:r w:rsidR="00A83DE6" w:rsidRPr="00A83DE6">
        <w:rPr>
          <w:b/>
          <w:sz w:val="20"/>
          <w:szCs w:val="20"/>
          <w:lang w:val="x-none" w:eastAsia="ko-KR"/>
        </w:rPr>
        <w:t>Proposal 2: It is still up to RAN2 on which solution they would take to implement RAN4’s agreement in their spec.</w:t>
      </w:r>
      <w:r>
        <w:rPr>
          <w:b/>
          <w:sz w:val="20"/>
          <w:szCs w:val="20"/>
          <w:lang w:val="x-none" w:eastAsia="ko-KR"/>
        </w:rPr>
        <w:fldChar w:fldCharType="end"/>
      </w:r>
    </w:p>
    <w:p w14:paraId="5A95CE38" w14:textId="5651C790" w:rsidR="006A7893" w:rsidRPr="006A7893" w:rsidRDefault="00B37A93" w:rsidP="00D73D2D">
      <w:pPr>
        <w:adjustRightInd w:val="0"/>
        <w:snapToGrid w:val="0"/>
        <w:spacing w:before="180" w:after="120"/>
        <w:jc w:val="both"/>
        <w:rPr>
          <w:b/>
          <w:sz w:val="20"/>
          <w:szCs w:val="20"/>
          <w:lang w:val="x-none" w:eastAsia="ko-KR"/>
        </w:rPr>
      </w:pPr>
      <w:r w:rsidRPr="006A7893">
        <w:rPr>
          <w:b/>
          <w:sz w:val="20"/>
          <w:szCs w:val="20"/>
          <w:lang w:val="x-none" w:eastAsia="ko-KR"/>
        </w:rPr>
        <w:fldChar w:fldCharType="begin"/>
      </w:r>
      <w:r w:rsidRPr="006A7893">
        <w:rPr>
          <w:b/>
          <w:sz w:val="20"/>
          <w:szCs w:val="20"/>
          <w:lang w:val="x-none" w:eastAsia="ko-KR"/>
        </w:rPr>
        <w:instrText xml:space="preserve"> REF _Ref40289457 \h </w:instrText>
      </w:r>
      <w:r w:rsidR="006A7893">
        <w:rPr>
          <w:b/>
          <w:sz w:val="20"/>
          <w:szCs w:val="20"/>
          <w:lang w:val="x-none" w:eastAsia="ko-KR"/>
        </w:rPr>
        <w:instrText xml:space="preserve"> \* MERGEFORMAT </w:instrText>
      </w:r>
      <w:r w:rsidRPr="006A7893">
        <w:rPr>
          <w:b/>
          <w:sz w:val="20"/>
          <w:szCs w:val="20"/>
          <w:lang w:val="x-none" w:eastAsia="ko-KR"/>
        </w:rPr>
      </w:r>
      <w:r w:rsidRPr="006A7893">
        <w:rPr>
          <w:b/>
          <w:sz w:val="20"/>
          <w:szCs w:val="20"/>
          <w:lang w:val="x-none" w:eastAsia="ko-KR"/>
        </w:rPr>
        <w:fldChar w:fldCharType="separate"/>
      </w:r>
      <w:r w:rsidR="00A83DE6" w:rsidRPr="00A83DE6">
        <w:rPr>
          <w:b/>
          <w:sz w:val="20"/>
          <w:szCs w:val="20"/>
          <w:lang w:val="x-none" w:eastAsia="ko-KR"/>
        </w:rPr>
        <w:t>Proposal 3: Answer to Q1 of R2-2004267: The exceptional band combination could at least be the fallback band combinations without corresponding RF requirements in RAN4 specs.</w:t>
      </w:r>
      <w:r w:rsidRPr="006A7893">
        <w:rPr>
          <w:b/>
          <w:sz w:val="20"/>
          <w:szCs w:val="20"/>
          <w:lang w:val="x-none" w:eastAsia="ko-KR"/>
        </w:rPr>
        <w:fldChar w:fldCharType="end"/>
      </w:r>
    </w:p>
    <w:p w14:paraId="47602993" w14:textId="192AC706" w:rsidR="00F65F68" w:rsidRPr="00C81DFC" w:rsidRDefault="00B37A93" w:rsidP="00F3456B">
      <w:pPr>
        <w:adjustRightInd w:val="0"/>
        <w:snapToGrid w:val="0"/>
        <w:spacing w:before="180" w:after="120"/>
        <w:jc w:val="both"/>
        <w:rPr>
          <w:b/>
          <w:sz w:val="20"/>
          <w:szCs w:val="20"/>
          <w:lang w:val="x-none" w:eastAsia="x-none"/>
        </w:rPr>
      </w:pPr>
      <w:r w:rsidRPr="006A7893">
        <w:rPr>
          <w:b/>
          <w:sz w:val="20"/>
          <w:szCs w:val="20"/>
          <w:lang w:val="x-none" w:eastAsia="ko-KR"/>
        </w:rPr>
        <w:fldChar w:fldCharType="begin"/>
      </w:r>
      <w:r w:rsidRPr="006A7893">
        <w:rPr>
          <w:b/>
          <w:sz w:val="20"/>
          <w:szCs w:val="20"/>
          <w:lang w:val="x-none" w:eastAsia="ko-KR"/>
        </w:rPr>
        <w:instrText xml:space="preserve"> REF _Ref40289459 \h </w:instrText>
      </w:r>
      <w:r w:rsidR="006A7893">
        <w:rPr>
          <w:b/>
          <w:sz w:val="20"/>
          <w:szCs w:val="20"/>
          <w:lang w:val="x-none" w:eastAsia="ko-KR"/>
        </w:rPr>
        <w:instrText xml:space="preserve"> \* MERGEFORMAT </w:instrText>
      </w:r>
      <w:r w:rsidRPr="006A7893">
        <w:rPr>
          <w:b/>
          <w:sz w:val="20"/>
          <w:szCs w:val="20"/>
          <w:lang w:val="x-none" w:eastAsia="ko-KR"/>
        </w:rPr>
      </w:r>
      <w:r w:rsidRPr="006A7893">
        <w:rPr>
          <w:b/>
          <w:sz w:val="20"/>
          <w:szCs w:val="20"/>
          <w:lang w:val="x-none" w:eastAsia="ko-KR"/>
        </w:rPr>
        <w:fldChar w:fldCharType="separate"/>
      </w:r>
      <w:r w:rsidR="00A83DE6" w:rsidRPr="00A83DE6">
        <w:rPr>
          <w:b/>
          <w:sz w:val="20"/>
          <w:szCs w:val="20"/>
          <w:lang w:val="x-none" w:eastAsia="ko-KR"/>
        </w:rPr>
        <w:t>Proposal 4: Answer to Q2 of R2-2004267: No</w:t>
      </w:r>
      <w:r w:rsidRPr="006A7893">
        <w:rPr>
          <w:b/>
          <w:sz w:val="20"/>
          <w:szCs w:val="20"/>
          <w:lang w:val="x-none" w:eastAsia="ko-KR"/>
        </w:rPr>
        <w:fldChar w:fldCharType="end"/>
      </w:r>
    </w:p>
    <w:p w14:paraId="2E96BB97" w14:textId="77777777" w:rsidR="00842EE0" w:rsidRDefault="00842EE0" w:rsidP="008F1284">
      <w:pPr>
        <w:pStyle w:val="Heading1"/>
        <w:numPr>
          <w:ilvl w:val="0"/>
          <w:numId w:val="1"/>
        </w:numPr>
        <w:rPr>
          <w:rFonts w:ascii="Calibri" w:hAnsi="Calibri"/>
        </w:rPr>
      </w:pPr>
      <w:r w:rsidRPr="00842EE0">
        <w:rPr>
          <w:rFonts w:ascii="Calibri" w:hAnsi="Calibri" w:hint="eastAsia"/>
        </w:rPr>
        <w:t>Reference</w:t>
      </w:r>
    </w:p>
    <w:p w14:paraId="780452EE" w14:textId="53023990" w:rsidR="003C022F" w:rsidRDefault="0090653B" w:rsidP="00B41628">
      <w:pPr>
        <w:overflowPunct w:val="0"/>
        <w:autoSpaceDE w:val="0"/>
        <w:autoSpaceDN w:val="0"/>
        <w:adjustRightInd w:val="0"/>
        <w:textAlignment w:val="baseline"/>
        <w:rPr>
          <w:sz w:val="20"/>
          <w:lang w:eastAsia="ko-KR"/>
        </w:rPr>
      </w:pPr>
      <w:r>
        <w:rPr>
          <w:sz w:val="20"/>
          <w:lang w:eastAsia="ko-KR"/>
        </w:rPr>
        <w:t xml:space="preserve">[1] </w:t>
      </w:r>
      <w:r w:rsidR="00FB104C" w:rsidRPr="00FB104C">
        <w:rPr>
          <w:sz w:val="20"/>
          <w:lang w:eastAsia="ko-KR"/>
        </w:rPr>
        <w:t>R2-2004267</w:t>
      </w:r>
      <w:r w:rsidR="00FB104C">
        <w:rPr>
          <w:sz w:val="20"/>
          <w:lang w:eastAsia="ko-KR"/>
        </w:rPr>
        <w:t>, “</w:t>
      </w:r>
      <w:r w:rsidR="00FB104C" w:rsidRPr="00FB104C">
        <w:rPr>
          <w:sz w:val="20"/>
          <w:lang w:eastAsia="ko-KR"/>
        </w:rPr>
        <w:t>Reply LS on Handling of Fallbacks for combined contiguous and non-contiguous CA or DC configurations in FR2</w:t>
      </w:r>
      <w:r w:rsidR="00FB104C">
        <w:rPr>
          <w:sz w:val="20"/>
          <w:lang w:eastAsia="ko-KR"/>
        </w:rPr>
        <w:t xml:space="preserve">”, </w:t>
      </w:r>
      <w:r w:rsidR="00FB104C" w:rsidRPr="00FB104C">
        <w:rPr>
          <w:sz w:val="20"/>
          <w:lang w:eastAsia="ko-KR"/>
        </w:rPr>
        <w:t>RAN WG2</w:t>
      </w:r>
    </w:p>
    <w:p w14:paraId="5E47ED3C" w14:textId="30FD8EBB" w:rsidR="00FB104C" w:rsidRDefault="00FB104C" w:rsidP="00B41628">
      <w:pPr>
        <w:overflowPunct w:val="0"/>
        <w:autoSpaceDE w:val="0"/>
        <w:autoSpaceDN w:val="0"/>
        <w:adjustRightInd w:val="0"/>
        <w:textAlignment w:val="baseline"/>
        <w:rPr>
          <w:sz w:val="20"/>
          <w:lang w:eastAsia="ko-KR"/>
        </w:rPr>
      </w:pPr>
      <w:r>
        <w:rPr>
          <w:sz w:val="20"/>
          <w:lang w:eastAsia="ko-KR"/>
        </w:rPr>
        <w:t xml:space="preserve">[2] </w:t>
      </w:r>
      <w:r w:rsidRPr="00FB104C">
        <w:rPr>
          <w:sz w:val="20"/>
          <w:lang w:eastAsia="ko-KR"/>
        </w:rPr>
        <w:t>R4-1908028</w:t>
      </w:r>
      <w:r>
        <w:rPr>
          <w:sz w:val="20"/>
          <w:lang w:eastAsia="ko-KR"/>
        </w:rPr>
        <w:t>, “</w:t>
      </w:r>
      <w:r w:rsidR="00FA1ADB" w:rsidRPr="00FA1ADB">
        <w:rPr>
          <w:sz w:val="20"/>
          <w:lang w:eastAsia="ko-KR"/>
        </w:rPr>
        <w:t>Draft CR for handling of fallbacks for combined contiguous and non-contiguous CA in FR2</w:t>
      </w:r>
      <w:r>
        <w:rPr>
          <w:sz w:val="20"/>
          <w:lang w:eastAsia="ko-KR"/>
        </w:rPr>
        <w:t xml:space="preserve">”, </w:t>
      </w:r>
      <w:r w:rsidR="00FA1ADB">
        <w:rPr>
          <w:sz w:val="20"/>
          <w:lang w:eastAsia="ko-KR"/>
        </w:rPr>
        <w:t>Apple inc.</w:t>
      </w:r>
    </w:p>
    <w:p w14:paraId="1263AA54" w14:textId="6917C475" w:rsidR="00FB104C" w:rsidRDefault="00FB104C" w:rsidP="00B41628">
      <w:pPr>
        <w:overflowPunct w:val="0"/>
        <w:autoSpaceDE w:val="0"/>
        <w:autoSpaceDN w:val="0"/>
        <w:adjustRightInd w:val="0"/>
        <w:textAlignment w:val="baseline"/>
        <w:rPr>
          <w:sz w:val="20"/>
          <w:lang w:eastAsia="ko-KR"/>
        </w:rPr>
      </w:pPr>
      <w:r>
        <w:rPr>
          <w:sz w:val="20"/>
          <w:lang w:eastAsia="ko-KR"/>
        </w:rPr>
        <w:t>[3]</w:t>
      </w:r>
      <w:r w:rsidRPr="00FB104C">
        <w:rPr>
          <w:sz w:val="20"/>
          <w:lang w:eastAsia="ko-KR"/>
        </w:rPr>
        <w:t xml:space="preserve"> R4-1910238</w:t>
      </w:r>
      <w:r>
        <w:rPr>
          <w:sz w:val="20"/>
          <w:lang w:eastAsia="ko-KR"/>
        </w:rPr>
        <w:t>,</w:t>
      </w:r>
      <w:r w:rsidRPr="00FB104C">
        <w:rPr>
          <w:sz w:val="20"/>
          <w:lang w:eastAsia="ko-KR"/>
        </w:rPr>
        <w:t xml:space="preserve"> </w:t>
      </w:r>
      <w:r>
        <w:rPr>
          <w:sz w:val="20"/>
          <w:lang w:eastAsia="ko-KR"/>
        </w:rPr>
        <w:t>“</w:t>
      </w:r>
      <w:r w:rsidR="00FA1ADB" w:rsidRPr="00FA1ADB">
        <w:rPr>
          <w:sz w:val="20"/>
          <w:lang w:eastAsia="ko-KR"/>
        </w:rPr>
        <w:t>Draft CR for handling of fallbacks for combined contiguous and non-contiguous CA in FR2</w:t>
      </w:r>
      <w:r>
        <w:rPr>
          <w:sz w:val="20"/>
          <w:lang w:eastAsia="ko-KR"/>
        </w:rPr>
        <w:t>”,</w:t>
      </w:r>
      <w:r w:rsidR="00FA1ADB">
        <w:rPr>
          <w:sz w:val="20"/>
          <w:lang w:eastAsia="ko-KR"/>
        </w:rPr>
        <w:t xml:space="preserve"> Apple inc.</w:t>
      </w:r>
    </w:p>
    <w:p w14:paraId="17672494" w14:textId="3E85BB62" w:rsidR="00FB104C" w:rsidRDefault="00FB104C" w:rsidP="00B41628">
      <w:pPr>
        <w:overflowPunct w:val="0"/>
        <w:autoSpaceDE w:val="0"/>
        <w:autoSpaceDN w:val="0"/>
        <w:adjustRightInd w:val="0"/>
        <w:textAlignment w:val="baseline"/>
        <w:rPr>
          <w:sz w:val="20"/>
          <w:lang w:eastAsia="ko-KR"/>
        </w:rPr>
      </w:pPr>
      <w:r>
        <w:rPr>
          <w:sz w:val="20"/>
          <w:lang w:eastAsia="ko-KR"/>
        </w:rPr>
        <w:t xml:space="preserve">[4] </w:t>
      </w:r>
      <w:r w:rsidRPr="00FB104C">
        <w:rPr>
          <w:sz w:val="20"/>
          <w:lang w:eastAsia="ko-KR"/>
        </w:rPr>
        <w:t>R4-1910239</w:t>
      </w:r>
      <w:r>
        <w:rPr>
          <w:sz w:val="20"/>
          <w:lang w:eastAsia="ko-KR"/>
        </w:rPr>
        <w:t>, “</w:t>
      </w:r>
      <w:r w:rsidR="00FA1ADB" w:rsidRPr="00FA1ADB">
        <w:rPr>
          <w:sz w:val="20"/>
          <w:lang w:eastAsia="ko-KR"/>
        </w:rPr>
        <w:t>Draft LS on Handling of Fallbacks for combined contiguous and non-contiguous CA or DC configurations in FR2</w:t>
      </w:r>
      <w:r>
        <w:rPr>
          <w:sz w:val="20"/>
          <w:lang w:eastAsia="ko-KR"/>
        </w:rPr>
        <w:t>”,</w:t>
      </w:r>
      <w:r w:rsidR="00FA1ADB">
        <w:rPr>
          <w:sz w:val="20"/>
          <w:lang w:eastAsia="ko-KR"/>
        </w:rPr>
        <w:t xml:space="preserve"> </w:t>
      </w:r>
      <w:r w:rsidR="00FA1ADB" w:rsidRPr="00FA1ADB">
        <w:rPr>
          <w:sz w:val="20"/>
          <w:lang w:eastAsia="ko-KR"/>
        </w:rPr>
        <w:t>RAN WG4</w:t>
      </w:r>
    </w:p>
    <w:p w14:paraId="08A44091" w14:textId="4D3406F8" w:rsidR="00ED3FF8" w:rsidRDefault="00ED3FF8" w:rsidP="00B41628">
      <w:pPr>
        <w:overflowPunct w:val="0"/>
        <w:autoSpaceDE w:val="0"/>
        <w:autoSpaceDN w:val="0"/>
        <w:adjustRightInd w:val="0"/>
        <w:textAlignment w:val="baseline"/>
        <w:rPr>
          <w:sz w:val="20"/>
          <w:lang w:eastAsia="ko-KR"/>
        </w:rPr>
      </w:pPr>
      <w:r>
        <w:rPr>
          <w:sz w:val="20"/>
          <w:lang w:eastAsia="ko-KR"/>
        </w:rPr>
        <w:t xml:space="preserve">[5] </w:t>
      </w:r>
      <w:r w:rsidRPr="00ED3FF8">
        <w:rPr>
          <w:sz w:val="20"/>
          <w:lang w:eastAsia="ko-KR"/>
        </w:rPr>
        <w:t>R4-2006578</w:t>
      </w:r>
      <w:r>
        <w:rPr>
          <w:sz w:val="20"/>
          <w:lang w:eastAsia="ko-KR"/>
        </w:rPr>
        <w:t>, “</w:t>
      </w:r>
      <w:r w:rsidRPr="00ED3FF8">
        <w:rPr>
          <w:sz w:val="20"/>
          <w:lang w:eastAsia="ko-KR"/>
        </w:rPr>
        <w:t>Further reply LS on Handling of Fallbacks for combined contiguous and non-contiguous CA or DC configurations in FR</w:t>
      </w:r>
      <w:r>
        <w:rPr>
          <w:sz w:val="20"/>
          <w:lang w:eastAsia="ko-KR"/>
        </w:rPr>
        <w:t>2”, MediaTek inc</w:t>
      </w:r>
    </w:p>
    <w:bookmarkEnd w:id="0"/>
    <w:p w14:paraId="411E3085" w14:textId="77777777" w:rsidR="009B5952" w:rsidRDefault="009B5952">
      <w:pPr>
        <w:overflowPunct w:val="0"/>
        <w:autoSpaceDE w:val="0"/>
        <w:autoSpaceDN w:val="0"/>
        <w:adjustRightInd w:val="0"/>
        <w:textAlignment w:val="baseline"/>
        <w:rPr>
          <w:sz w:val="20"/>
          <w:lang w:eastAsia="ko-KR"/>
        </w:rPr>
      </w:pPr>
    </w:p>
    <w:sectPr w:rsidR="009B5952"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F61AF7" w14:textId="77777777" w:rsidR="00FE47A9" w:rsidRDefault="00FE47A9">
      <w:r>
        <w:separator/>
      </w:r>
    </w:p>
  </w:endnote>
  <w:endnote w:type="continuationSeparator" w:id="0">
    <w:p w14:paraId="79371830" w14:textId="77777777" w:rsidR="00FE47A9" w:rsidRDefault="00FE4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7332FF" w14:textId="77777777" w:rsidR="00FE47A9" w:rsidRDefault="00FE47A9">
      <w:r>
        <w:separator/>
      </w:r>
    </w:p>
  </w:footnote>
  <w:footnote w:type="continuationSeparator" w:id="0">
    <w:p w14:paraId="15C99094" w14:textId="77777777" w:rsidR="00FE47A9" w:rsidRDefault="00FE47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CC04D3"/>
    <w:multiLevelType w:val="hybridMultilevel"/>
    <w:tmpl w:val="54A80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F4625"/>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3D6241"/>
    <w:multiLevelType w:val="hybridMultilevel"/>
    <w:tmpl w:val="43BE4BC2"/>
    <w:lvl w:ilvl="0" w:tplc="BDB45CBE">
      <w:start w:val="1"/>
      <w:numFmt w:val="bullet"/>
      <w:lvlText w:val="•"/>
      <w:lvlJc w:val="left"/>
      <w:pPr>
        <w:tabs>
          <w:tab w:val="num" w:pos="720"/>
        </w:tabs>
        <w:ind w:left="720" w:hanging="360"/>
      </w:pPr>
      <w:rPr>
        <w:rFonts w:ascii="Arial" w:hAnsi="Arial" w:hint="default"/>
      </w:rPr>
    </w:lvl>
    <w:lvl w:ilvl="1" w:tplc="7696CA8E" w:tentative="1">
      <w:start w:val="1"/>
      <w:numFmt w:val="bullet"/>
      <w:lvlText w:val="•"/>
      <w:lvlJc w:val="left"/>
      <w:pPr>
        <w:tabs>
          <w:tab w:val="num" w:pos="1440"/>
        </w:tabs>
        <w:ind w:left="1440" w:hanging="360"/>
      </w:pPr>
      <w:rPr>
        <w:rFonts w:ascii="Arial" w:hAnsi="Arial" w:hint="default"/>
      </w:rPr>
    </w:lvl>
    <w:lvl w:ilvl="2" w:tplc="2F3A1B82">
      <w:start w:val="1"/>
      <w:numFmt w:val="bullet"/>
      <w:lvlText w:val="•"/>
      <w:lvlJc w:val="left"/>
      <w:pPr>
        <w:tabs>
          <w:tab w:val="num" w:pos="2160"/>
        </w:tabs>
        <w:ind w:left="2160" w:hanging="360"/>
      </w:pPr>
      <w:rPr>
        <w:rFonts w:ascii="Arial" w:hAnsi="Arial" w:hint="default"/>
      </w:rPr>
    </w:lvl>
    <w:lvl w:ilvl="3" w:tplc="93DCCCC0" w:tentative="1">
      <w:start w:val="1"/>
      <w:numFmt w:val="bullet"/>
      <w:lvlText w:val="•"/>
      <w:lvlJc w:val="left"/>
      <w:pPr>
        <w:tabs>
          <w:tab w:val="num" w:pos="2880"/>
        </w:tabs>
        <w:ind w:left="2880" w:hanging="360"/>
      </w:pPr>
      <w:rPr>
        <w:rFonts w:ascii="Arial" w:hAnsi="Arial" w:hint="default"/>
      </w:rPr>
    </w:lvl>
    <w:lvl w:ilvl="4" w:tplc="5AAA9858" w:tentative="1">
      <w:start w:val="1"/>
      <w:numFmt w:val="bullet"/>
      <w:lvlText w:val="•"/>
      <w:lvlJc w:val="left"/>
      <w:pPr>
        <w:tabs>
          <w:tab w:val="num" w:pos="3600"/>
        </w:tabs>
        <w:ind w:left="3600" w:hanging="360"/>
      </w:pPr>
      <w:rPr>
        <w:rFonts w:ascii="Arial" w:hAnsi="Arial" w:hint="default"/>
      </w:rPr>
    </w:lvl>
    <w:lvl w:ilvl="5" w:tplc="E50A70D2" w:tentative="1">
      <w:start w:val="1"/>
      <w:numFmt w:val="bullet"/>
      <w:lvlText w:val="•"/>
      <w:lvlJc w:val="left"/>
      <w:pPr>
        <w:tabs>
          <w:tab w:val="num" w:pos="4320"/>
        </w:tabs>
        <w:ind w:left="4320" w:hanging="360"/>
      </w:pPr>
      <w:rPr>
        <w:rFonts w:ascii="Arial" w:hAnsi="Arial" w:hint="default"/>
      </w:rPr>
    </w:lvl>
    <w:lvl w:ilvl="6" w:tplc="89BC8AD4" w:tentative="1">
      <w:start w:val="1"/>
      <w:numFmt w:val="bullet"/>
      <w:lvlText w:val="•"/>
      <w:lvlJc w:val="left"/>
      <w:pPr>
        <w:tabs>
          <w:tab w:val="num" w:pos="5040"/>
        </w:tabs>
        <w:ind w:left="5040" w:hanging="360"/>
      </w:pPr>
      <w:rPr>
        <w:rFonts w:ascii="Arial" w:hAnsi="Arial" w:hint="default"/>
      </w:rPr>
    </w:lvl>
    <w:lvl w:ilvl="7" w:tplc="6DFAA02C" w:tentative="1">
      <w:start w:val="1"/>
      <w:numFmt w:val="bullet"/>
      <w:lvlText w:val="•"/>
      <w:lvlJc w:val="left"/>
      <w:pPr>
        <w:tabs>
          <w:tab w:val="num" w:pos="5760"/>
        </w:tabs>
        <w:ind w:left="5760" w:hanging="360"/>
      </w:pPr>
      <w:rPr>
        <w:rFonts w:ascii="Arial" w:hAnsi="Arial" w:hint="default"/>
      </w:rPr>
    </w:lvl>
    <w:lvl w:ilvl="8" w:tplc="2A02E6B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6E325C"/>
    <w:multiLevelType w:val="hybridMultilevel"/>
    <w:tmpl w:val="55D8B1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CE27DD7"/>
    <w:multiLevelType w:val="hybridMultilevel"/>
    <w:tmpl w:val="DE60CCDE"/>
    <w:lvl w:ilvl="0" w:tplc="EE7C967E">
      <w:start w:val="1"/>
      <w:numFmt w:val="bullet"/>
      <w:lvlText w:val="•"/>
      <w:lvlJc w:val="left"/>
      <w:pPr>
        <w:tabs>
          <w:tab w:val="num" w:pos="720"/>
        </w:tabs>
        <w:ind w:left="720" w:hanging="360"/>
      </w:pPr>
      <w:rPr>
        <w:rFonts w:ascii="Arial" w:hAnsi="Arial" w:hint="default"/>
      </w:rPr>
    </w:lvl>
    <w:lvl w:ilvl="1" w:tplc="F6F4AD6C">
      <w:numFmt w:val="bullet"/>
      <w:lvlText w:val="•"/>
      <w:lvlJc w:val="left"/>
      <w:pPr>
        <w:tabs>
          <w:tab w:val="num" w:pos="1440"/>
        </w:tabs>
        <w:ind w:left="1440" w:hanging="360"/>
      </w:pPr>
      <w:rPr>
        <w:rFonts w:ascii="Arial" w:hAnsi="Arial" w:hint="default"/>
      </w:rPr>
    </w:lvl>
    <w:lvl w:ilvl="2" w:tplc="A3A09AC2" w:tentative="1">
      <w:start w:val="1"/>
      <w:numFmt w:val="bullet"/>
      <w:lvlText w:val="•"/>
      <w:lvlJc w:val="left"/>
      <w:pPr>
        <w:tabs>
          <w:tab w:val="num" w:pos="2160"/>
        </w:tabs>
        <w:ind w:left="2160" w:hanging="360"/>
      </w:pPr>
      <w:rPr>
        <w:rFonts w:ascii="Arial" w:hAnsi="Arial" w:hint="default"/>
      </w:rPr>
    </w:lvl>
    <w:lvl w:ilvl="3" w:tplc="A7D66EBA" w:tentative="1">
      <w:start w:val="1"/>
      <w:numFmt w:val="bullet"/>
      <w:lvlText w:val="•"/>
      <w:lvlJc w:val="left"/>
      <w:pPr>
        <w:tabs>
          <w:tab w:val="num" w:pos="2880"/>
        </w:tabs>
        <w:ind w:left="2880" w:hanging="360"/>
      </w:pPr>
      <w:rPr>
        <w:rFonts w:ascii="Arial" w:hAnsi="Arial" w:hint="default"/>
      </w:rPr>
    </w:lvl>
    <w:lvl w:ilvl="4" w:tplc="5ACEF4F6" w:tentative="1">
      <w:start w:val="1"/>
      <w:numFmt w:val="bullet"/>
      <w:lvlText w:val="•"/>
      <w:lvlJc w:val="left"/>
      <w:pPr>
        <w:tabs>
          <w:tab w:val="num" w:pos="3600"/>
        </w:tabs>
        <w:ind w:left="3600" w:hanging="360"/>
      </w:pPr>
      <w:rPr>
        <w:rFonts w:ascii="Arial" w:hAnsi="Arial" w:hint="default"/>
      </w:rPr>
    </w:lvl>
    <w:lvl w:ilvl="5" w:tplc="01F45B46" w:tentative="1">
      <w:start w:val="1"/>
      <w:numFmt w:val="bullet"/>
      <w:lvlText w:val="•"/>
      <w:lvlJc w:val="left"/>
      <w:pPr>
        <w:tabs>
          <w:tab w:val="num" w:pos="4320"/>
        </w:tabs>
        <w:ind w:left="4320" w:hanging="360"/>
      </w:pPr>
      <w:rPr>
        <w:rFonts w:ascii="Arial" w:hAnsi="Arial" w:hint="default"/>
      </w:rPr>
    </w:lvl>
    <w:lvl w:ilvl="6" w:tplc="E6EEEE9E" w:tentative="1">
      <w:start w:val="1"/>
      <w:numFmt w:val="bullet"/>
      <w:lvlText w:val="•"/>
      <w:lvlJc w:val="left"/>
      <w:pPr>
        <w:tabs>
          <w:tab w:val="num" w:pos="5040"/>
        </w:tabs>
        <w:ind w:left="5040" w:hanging="360"/>
      </w:pPr>
      <w:rPr>
        <w:rFonts w:ascii="Arial" w:hAnsi="Arial" w:hint="default"/>
      </w:rPr>
    </w:lvl>
    <w:lvl w:ilvl="7" w:tplc="B89E07F8" w:tentative="1">
      <w:start w:val="1"/>
      <w:numFmt w:val="bullet"/>
      <w:lvlText w:val="•"/>
      <w:lvlJc w:val="left"/>
      <w:pPr>
        <w:tabs>
          <w:tab w:val="num" w:pos="5760"/>
        </w:tabs>
        <w:ind w:left="5760" w:hanging="360"/>
      </w:pPr>
      <w:rPr>
        <w:rFonts w:ascii="Arial" w:hAnsi="Arial" w:hint="default"/>
      </w:rPr>
    </w:lvl>
    <w:lvl w:ilvl="8" w:tplc="303CCB9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521BBE"/>
    <w:multiLevelType w:val="hybridMultilevel"/>
    <w:tmpl w:val="0E7E77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2260270"/>
    <w:multiLevelType w:val="hybridMultilevel"/>
    <w:tmpl w:val="95C4F8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B72EBF"/>
    <w:multiLevelType w:val="hybridMultilevel"/>
    <w:tmpl w:val="120C9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5E1BE4"/>
    <w:multiLevelType w:val="hybridMultilevel"/>
    <w:tmpl w:val="816EC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ED3BCE"/>
    <w:multiLevelType w:val="hybridMultilevel"/>
    <w:tmpl w:val="FDFC43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E220B7"/>
    <w:multiLevelType w:val="hybridMultilevel"/>
    <w:tmpl w:val="71263328"/>
    <w:lvl w:ilvl="0" w:tplc="0DB65E52">
      <w:start w:val="1"/>
      <w:numFmt w:val="bullet"/>
      <w:lvlText w:val="•"/>
      <w:lvlJc w:val="left"/>
      <w:pPr>
        <w:tabs>
          <w:tab w:val="num" w:pos="720"/>
        </w:tabs>
        <w:ind w:left="720" w:hanging="360"/>
      </w:pPr>
      <w:rPr>
        <w:rFonts w:ascii="Arial" w:hAnsi="Arial" w:hint="default"/>
      </w:rPr>
    </w:lvl>
    <w:lvl w:ilvl="1" w:tplc="CCBCF396">
      <w:start w:val="1"/>
      <w:numFmt w:val="bullet"/>
      <w:lvlText w:val="•"/>
      <w:lvlJc w:val="left"/>
      <w:pPr>
        <w:tabs>
          <w:tab w:val="num" w:pos="1440"/>
        </w:tabs>
        <w:ind w:left="1440" w:hanging="360"/>
      </w:pPr>
      <w:rPr>
        <w:rFonts w:ascii="Arial" w:hAnsi="Arial" w:hint="default"/>
      </w:rPr>
    </w:lvl>
    <w:lvl w:ilvl="2" w:tplc="53E01D0E" w:tentative="1">
      <w:start w:val="1"/>
      <w:numFmt w:val="bullet"/>
      <w:lvlText w:val="•"/>
      <w:lvlJc w:val="left"/>
      <w:pPr>
        <w:tabs>
          <w:tab w:val="num" w:pos="2160"/>
        </w:tabs>
        <w:ind w:left="2160" w:hanging="360"/>
      </w:pPr>
      <w:rPr>
        <w:rFonts w:ascii="Arial" w:hAnsi="Arial" w:hint="default"/>
      </w:rPr>
    </w:lvl>
    <w:lvl w:ilvl="3" w:tplc="107E0B54" w:tentative="1">
      <w:start w:val="1"/>
      <w:numFmt w:val="bullet"/>
      <w:lvlText w:val="•"/>
      <w:lvlJc w:val="left"/>
      <w:pPr>
        <w:tabs>
          <w:tab w:val="num" w:pos="2880"/>
        </w:tabs>
        <w:ind w:left="2880" w:hanging="360"/>
      </w:pPr>
      <w:rPr>
        <w:rFonts w:ascii="Arial" w:hAnsi="Arial" w:hint="default"/>
      </w:rPr>
    </w:lvl>
    <w:lvl w:ilvl="4" w:tplc="00B68404" w:tentative="1">
      <w:start w:val="1"/>
      <w:numFmt w:val="bullet"/>
      <w:lvlText w:val="•"/>
      <w:lvlJc w:val="left"/>
      <w:pPr>
        <w:tabs>
          <w:tab w:val="num" w:pos="3600"/>
        </w:tabs>
        <w:ind w:left="3600" w:hanging="360"/>
      </w:pPr>
      <w:rPr>
        <w:rFonts w:ascii="Arial" w:hAnsi="Arial" w:hint="default"/>
      </w:rPr>
    </w:lvl>
    <w:lvl w:ilvl="5" w:tplc="32A8B8E0" w:tentative="1">
      <w:start w:val="1"/>
      <w:numFmt w:val="bullet"/>
      <w:lvlText w:val="•"/>
      <w:lvlJc w:val="left"/>
      <w:pPr>
        <w:tabs>
          <w:tab w:val="num" w:pos="4320"/>
        </w:tabs>
        <w:ind w:left="4320" w:hanging="360"/>
      </w:pPr>
      <w:rPr>
        <w:rFonts w:ascii="Arial" w:hAnsi="Arial" w:hint="default"/>
      </w:rPr>
    </w:lvl>
    <w:lvl w:ilvl="6" w:tplc="E6DE4E7C" w:tentative="1">
      <w:start w:val="1"/>
      <w:numFmt w:val="bullet"/>
      <w:lvlText w:val="•"/>
      <w:lvlJc w:val="left"/>
      <w:pPr>
        <w:tabs>
          <w:tab w:val="num" w:pos="5040"/>
        </w:tabs>
        <w:ind w:left="5040" w:hanging="360"/>
      </w:pPr>
      <w:rPr>
        <w:rFonts w:ascii="Arial" w:hAnsi="Arial" w:hint="default"/>
      </w:rPr>
    </w:lvl>
    <w:lvl w:ilvl="7" w:tplc="82E035AE" w:tentative="1">
      <w:start w:val="1"/>
      <w:numFmt w:val="bullet"/>
      <w:lvlText w:val="•"/>
      <w:lvlJc w:val="left"/>
      <w:pPr>
        <w:tabs>
          <w:tab w:val="num" w:pos="5760"/>
        </w:tabs>
        <w:ind w:left="5760" w:hanging="360"/>
      </w:pPr>
      <w:rPr>
        <w:rFonts w:ascii="Arial" w:hAnsi="Arial" w:hint="default"/>
      </w:rPr>
    </w:lvl>
    <w:lvl w:ilvl="8" w:tplc="D430DCB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6037E5D"/>
    <w:multiLevelType w:val="hybridMultilevel"/>
    <w:tmpl w:val="EE106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4F31673"/>
    <w:multiLevelType w:val="hybridMultilevel"/>
    <w:tmpl w:val="BD0C2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106AE6"/>
    <w:multiLevelType w:val="hybridMultilevel"/>
    <w:tmpl w:val="6F9ADB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585DE7"/>
    <w:multiLevelType w:val="hybridMultilevel"/>
    <w:tmpl w:val="6C08F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1D964CD"/>
    <w:multiLevelType w:val="hybridMultilevel"/>
    <w:tmpl w:val="B896DD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EC40434"/>
    <w:multiLevelType w:val="hybridMultilevel"/>
    <w:tmpl w:val="22520D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5E64BC"/>
    <w:multiLevelType w:val="hybridMultilevel"/>
    <w:tmpl w:val="B8900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31" w15:restartNumberingAfterBreak="0">
    <w:nsid w:val="67D52E49"/>
    <w:multiLevelType w:val="hybridMultilevel"/>
    <w:tmpl w:val="AAD63E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A691A2D"/>
    <w:multiLevelType w:val="hybridMultilevel"/>
    <w:tmpl w:val="225EDCA0"/>
    <w:lvl w:ilvl="0" w:tplc="18167ECE">
      <w:start w:val="1"/>
      <w:numFmt w:val="decimal"/>
      <w:lvlText w:val="%1)"/>
      <w:lvlJc w:val="left"/>
      <w:pPr>
        <w:tabs>
          <w:tab w:val="num" w:pos="720"/>
        </w:tabs>
        <w:ind w:left="720" w:hanging="360"/>
      </w:pPr>
      <w:rPr>
        <w:rFonts w:asciiTheme="minorHAnsi" w:eastAsiaTheme="minorEastAsia" w:hAnsiTheme="minorHAnsi" w:cstheme="minorBidi" w:hint="default"/>
      </w:rPr>
    </w:lvl>
    <w:lvl w:ilvl="1" w:tplc="7696CA8E">
      <w:start w:val="1"/>
      <w:numFmt w:val="bullet"/>
      <w:lvlText w:val="•"/>
      <w:lvlJc w:val="left"/>
      <w:pPr>
        <w:tabs>
          <w:tab w:val="num" w:pos="1440"/>
        </w:tabs>
        <w:ind w:left="1440" w:hanging="360"/>
      </w:pPr>
      <w:rPr>
        <w:rFonts w:ascii="Arial" w:hAnsi="Arial" w:hint="default"/>
      </w:rPr>
    </w:lvl>
    <w:lvl w:ilvl="2" w:tplc="18167ECE">
      <w:start w:val="1"/>
      <w:numFmt w:val="decimal"/>
      <w:lvlText w:val="%3)"/>
      <w:lvlJc w:val="left"/>
      <w:pPr>
        <w:tabs>
          <w:tab w:val="num" w:pos="2160"/>
        </w:tabs>
        <w:ind w:left="2160" w:hanging="360"/>
      </w:pPr>
      <w:rPr>
        <w:rFonts w:asciiTheme="minorHAnsi" w:eastAsiaTheme="minorEastAsia" w:hAnsiTheme="minorHAnsi" w:cstheme="minorBidi"/>
      </w:rPr>
    </w:lvl>
    <w:lvl w:ilvl="3" w:tplc="93DCCCC0" w:tentative="1">
      <w:start w:val="1"/>
      <w:numFmt w:val="bullet"/>
      <w:lvlText w:val="•"/>
      <w:lvlJc w:val="left"/>
      <w:pPr>
        <w:tabs>
          <w:tab w:val="num" w:pos="2880"/>
        </w:tabs>
        <w:ind w:left="2880" w:hanging="360"/>
      </w:pPr>
      <w:rPr>
        <w:rFonts w:ascii="Arial" w:hAnsi="Arial" w:hint="default"/>
      </w:rPr>
    </w:lvl>
    <w:lvl w:ilvl="4" w:tplc="5AAA9858" w:tentative="1">
      <w:start w:val="1"/>
      <w:numFmt w:val="bullet"/>
      <w:lvlText w:val="•"/>
      <w:lvlJc w:val="left"/>
      <w:pPr>
        <w:tabs>
          <w:tab w:val="num" w:pos="3600"/>
        </w:tabs>
        <w:ind w:left="3600" w:hanging="360"/>
      </w:pPr>
      <w:rPr>
        <w:rFonts w:ascii="Arial" w:hAnsi="Arial" w:hint="default"/>
      </w:rPr>
    </w:lvl>
    <w:lvl w:ilvl="5" w:tplc="E50A70D2" w:tentative="1">
      <w:start w:val="1"/>
      <w:numFmt w:val="bullet"/>
      <w:lvlText w:val="•"/>
      <w:lvlJc w:val="left"/>
      <w:pPr>
        <w:tabs>
          <w:tab w:val="num" w:pos="4320"/>
        </w:tabs>
        <w:ind w:left="4320" w:hanging="360"/>
      </w:pPr>
      <w:rPr>
        <w:rFonts w:ascii="Arial" w:hAnsi="Arial" w:hint="default"/>
      </w:rPr>
    </w:lvl>
    <w:lvl w:ilvl="6" w:tplc="89BC8AD4" w:tentative="1">
      <w:start w:val="1"/>
      <w:numFmt w:val="bullet"/>
      <w:lvlText w:val="•"/>
      <w:lvlJc w:val="left"/>
      <w:pPr>
        <w:tabs>
          <w:tab w:val="num" w:pos="5040"/>
        </w:tabs>
        <w:ind w:left="5040" w:hanging="360"/>
      </w:pPr>
      <w:rPr>
        <w:rFonts w:ascii="Arial" w:hAnsi="Arial" w:hint="default"/>
      </w:rPr>
    </w:lvl>
    <w:lvl w:ilvl="7" w:tplc="6DFAA02C" w:tentative="1">
      <w:start w:val="1"/>
      <w:numFmt w:val="bullet"/>
      <w:lvlText w:val="•"/>
      <w:lvlJc w:val="left"/>
      <w:pPr>
        <w:tabs>
          <w:tab w:val="num" w:pos="5760"/>
        </w:tabs>
        <w:ind w:left="5760" w:hanging="360"/>
      </w:pPr>
      <w:rPr>
        <w:rFonts w:ascii="Arial" w:hAnsi="Arial" w:hint="default"/>
      </w:rPr>
    </w:lvl>
    <w:lvl w:ilvl="8" w:tplc="2A02E6B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CA5DE3"/>
    <w:multiLevelType w:val="hybridMultilevel"/>
    <w:tmpl w:val="366419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78D2321"/>
    <w:multiLevelType w:val="hybridMultilevel"/>
    <w:tmpl w:val="E28A50FC"/>
    <w:lvl w:ilvl="0" w:tplc="65D2B94C">
      <w:start w:val="1"/>
      <w:numFmt w:val="bullet"/>
      <w:lvlText w:val="•"/>
      <w:lvlJc w:val="left"/>
      <w:pPr>
        <w:tabs>
          <w:tab w:val="num" w:pos="720"/>
        </w:tabs>
        <w:ind w:left="720" w:hanging="360"/>
      </w:pPr>
      <w:rPr>
        <w:rFonts w:ascii="Arial" w:hAnsi="Arial" w:hint="default"/>
      </w:rPr>
    </w:lvl>
    <w:lvl w:ilvl="1" w:tplc="0BE6DB3C">
      <w:start w:val="1"/>
      <w:numFmt w:val="bullet"/>
      <w:lvlText w:val="•"/>
      <w:lvlJc w:val="left"/>
      <w:pPr>
        <w:tabs>
          <w:tab w:val="num" w:pos="1440"/>
        </w:tabs>
        <w:ind w:left="1440" w:hanging="360"/>
      </w:pPr>
      <w:rPr>
        <w:rFonts w:ascii="Arial" w:hAnsi="Arial" w:hint="default"/>
      </w:rPr>
    </w:lvl>
    <w:lvl w:ilvl="2" w:tplc="4E7EB7CA" w:tentative="1">
      <w:start w:val="1"/>
      <w:numFmt w:val="bullet"/>
      <w:lvlText w:val="•"/>
      <w:lvlJc w:val="left"/>
      <w:pPr>
        <w:tabs>
          <w:tab w:val="num" w:pos="2160"/>
        </w:tabs>
        <w:ind w:left="2160" w:hanging="360"/>
      </w:pPr>
      <w:rPr>
        <w:rFonts w:ascii="Arial" w:hAnsi="Arial" w:hint="default"/>
      </w:rPr>
    </w:lvl>
    <w:lvl w:ilvl="3" w:tplc="38EC36C0" w:tentative="1">
      <w:start w:val="1"/>
      <w:numFmt w:val="bullet"/>
      <w:lvlText w:val="•"/>
      <w:lvlJc w:val="left"/>
      <w:pPr>
        <w:tabs>
          <w:tab w:val="num" w:pos="2880"/>
        </w:tabs>
        <w:ind w:left="2880" w:hanging="360"/>
      </w:pPr>
      <w:rPr>
        <w:rFonts w:ascii="Arial" w:hAnsi="Arial" w:hint="default"/>
      </w:rPr>
    </w:lvl>
    <w:lvl w:ilvl="4" w:tplc="F5042FE8" w:tentative="1">
      <w:start w:val="1"/>
      <w:numFmt w:val="bullet"/>
      <w:lvlText w:val="•"/>
      <w:lvlJc w:val="left"/>
      <w:pPr>
        <w:tabs>
          <w:tab w:val="num" w:pos="3600"/>
        </w:tabs>
        <w:ind w:left="3600" w:hanging="360"/>
      </w:pPr>
      <w:rPr>
        <w:rFonts w:ascii="Arial" w:hAnsi="Arial" w:hint="default"/>
      </w:rPr>
    </w:lvl>
    <w:lvl w:ilvl="5" w:tplc="435A39D6" w:tentative="1">
      <w:start w:val="1"/>
      <w:numFmt w:val="bullet"/>
      <w:lvlText w:val="•"/>
      <w:lvlJc w:val="left"/>
      <w:pPr>
        <w:tabs>
          <w:tab w:val="num" w:pos="4320"/>
        </w:tabs>
        <w:ind w:left="4320" w:hanging="360"/>
      </w:pPr>
      <w:rPr>
        <w:rFonts w:ascii="Arial" w:hAnsi="Arial" w:hint="default"/>
      </w:rPr>
    </w:lvl>
    <w:lvl w:ilvl="6" w:tplc="3E8C0C78" w:tentative="1">
      <w:start w:val="1"/>
      <w:numFmt w:val="bullet"/>
      <w:lvlText w:val="•"/>
      <w:lvlJc w:val="left"/>
      <w:pPr>
        <w:tabs>
          <w:tab w:val="num" w:pos="5040"/>
        </w:tabs>
        <w:ind w:left="5040" w:hanging="360"/>
      </w:pPr>
      <w:rPr>
        <w:rFonts w:ascii="Arial" w:hAnsi="Arial" w:hint="default"/>
      </w:rPr>
    </w:lvl>
    <w:lvl w:ilvl="7" w:tplc="A6242FB2" w:tentative="1">
      <w:start w:val="1"/>
      <w:numFmt w:val="bullet"/>
      <w:lvlText w:val="•"/>
      <w:lvlJc w:val="left"/>
      <w:pPr>
        <w:tabs>
          <w:tab w:val="num" w:pos="5760"/>
        </w:tabs>
        <w:ind w:left="5760" w:hanging="360"/>
      </w:pPr>
      <w:rPr>
        <w:rFonts w:ascii="Arial" w:hAnsi="Arial" w:hint="default"/>
      </w:rPr>
    </w:lvl>
    <w:lvl w:ilvl="8" w:tplc="1378512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809502F"/>
    <w:multiLevelType w:val="hybridMultilevel"/>
    <w:tmpl w:val="AB80CE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BA9671C"/>
    <w:multiLevelType w:val="hybridMultilevel"/>
    <w:tmpl w:val="B76E8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0"/>
  </w:num>
  <w:num w:numId="3">
    <w:abstractNumId w:val="4"/>
  </w:num>
  <w:num w:numId="4">
    <w:abstractNumId w:val="1"/>
  </w:num>
  <w:num w:numId="5">
    <w:abstractNumId w:val="17"/>
  </w:num>
  <w:num w:numId="6">
    <w:abstractNumId w:val="29"/>
  </w:num>
  <w:num w:numId="7">
    <w:abstractNumId w:val="23"/>
  </w:num>
  <w:num w:numId="8">
    <w:abstractNumId w:val="34"/>
  </w:num>
  <w:num w:numId="9">
    <w:abstractNumId w:val="27"/>
  </w:num>
  <w:num w:numId="10">
    <w:abstractNumId w:val="0"/>
  </w:num>
  <w:num w:numId="11">
    <w:abstractNumId w:val="12"/>
  </w:num>
  <w:num w:numId="12">
    <w:abstractNumId w:val="30"/>
  </w:num>
  <w:num w:numId="13">
    <w:abstractNumId w:val="38"/>
  </w:num>
  <w:num w:numId="14">
    <w:abstractNumId w:val="36"/>
  </w:num>
  <w:num w:numId="15">
    <w:abstractNumId w:val="15"/>
  </w:num>
  <w:num w:numId="16">
    <w:abstractNumId w:val="25"/>
  </w:num>
  <w:num w:numId="17">
    <w:abstractNumId w:val="3"/>
  </w:num>
  <w:num w:numId="18">
    <w:abstractNumId w:val="14"/>
  </w:num>
  <w:num w:numId="19">
    <w:abstractNumId w:val="28"/>
  </w:num>
  <w:num w:numId="20">
    <w:abstractNumId w:val="16"/>
  </w:num>
  <w:num w:numId="21">
    <w:abstractNumId w:val="21"/>
  </w:num>
  <w:num w:numId="22">
    <w:abstractNumId w:val="13"/>
  </w:num>
  <w:num w:numId="23">
    <w:abstractNumId w:val="5"/>
  </w:num>
  <w:num w:numId="24">
    <w:abstractNumId w:val="32"/>
  </w:num>
  <w:num w:numId="25">
    <w:abstractNumId w:val="11"/>
  </w:num>
  <w:num w:numId="26">
    <w:abstractNumId w:val="7"/>
  </w:num>
  <w:num w:numId="27">
    <w:abstractNumId w:val="24"/>
  </w:num>
  <w:num w:numId="28">
    <w:abstractNumId w:val="9"/>
  </w:num>
  <w:num w:numId="29">
    <w:abstractNumId w:val="37"/>
  </w:num>
  <w:num w:numId="30">
    <w:abstractNumId w:val="6"/>
  </w:num>
  <w:num w:numId="31">
    <w:abstractNumId w:val="35"/>
  </w:num>
  <w:num w:numId="32">
    <w:abstractNumId w:val="19"/>
  </w:num>
  <w:num w:numId="33">
    <w:abstractNumId w:val="18"/>
  </w:num>
  <w:num w:numId="34">
    <w:abstractNumId w:val="31"/>
  </w:num>
  <w:num w:numId="35">
    <w:abstractNumId w:val="8"/>
  </w:num>
  <w:num w:numId="36">
    <w:abstractNumId w:val="22"/>
  </w:num>
  <w:num w:numId="37">
    <w:abstractNumId w:val="26"/>
  </w:num>
  <w:num w:numId="38">
    <w:abstractNumId w:val="10"/>
  </w:num>
  <w:num w:numId="39">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0A0"/>
    <w:rsid w:val="0000719E"/>
    <w:rsid w:val="000074C4"/>
    <w:rsid w:val="00010086"/>
    <w:rsid w:val="00010823"/>
    <w:rsid w:val="00010D4A"/>
    <w:rsid w:val="000116F3"/>
    <w:rsid w:val="00011779"/>
    <w:rsid w:val="00011868"/>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AE"/>
    <w:rsid w:val="00032920"/>
    <w:rsid w:val="000329E1"/>
    <w:rsid w:val="00032EFF"/>
    <w:rsid w:val="00033135"/>
    <w:rsid w:val="00033193"/>
    <w:rsid w:val="000339EA"/>
    <w:rsid w:val="00033DDE"/>
    <w:rsid w:val="00033EF5"/>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89A"/>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6D03"/>
    <w:rsid w:val="0008734C"/>
    <w:rsid w:val="00087858"/>
    <w:rsid w:val="00087E61"/>
    <w:rsid w:val="00090073"/>
    <w:rsid w:val="00090ED4"/>
    <w:rsid w:val="000917DB"/>
    <w:rsid w:val="00091F15"/>
    <w:rsid w:val="00091F51"/>
    <w:rsid w:val="0009343C"/>
    <w:rsid w:val="000934B5"/>
    <w:rsid w:val="00093B47"/>
    <w:rsid w:val="0009408B"/>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4D1"/>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5B84"/>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5E8A"/>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C5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070B7"/>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B0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1CAE"/>
    <w:rsid w:val="001729D3"/>
    <w:rsid w:val="00172DC0"/>
    <w:rsid w:val="0017329A"/>
    <w:rsid w:val="00173BAD"/>
    <w:rsid w:val="00173DDA"/>
    <w:rsid w:val="00173F96"/>
    <w:rsid w:val="00174EC2"/>
    <w:rsid w:val="0017551C"/>
    <w:rsid w:val="001756C2"/>
    <w:rsid w:val="00175715"/>
    <w:rsid w:val="00175CD8"/>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800"/>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08E"/>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AB1"/>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A90"/>
    <w:rsid w:val="001F6DE9"/>
    <w:rsid w:val="001F6EFC"/>
    <w:rsid w:val="001F711E"/>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9DF"/>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071"/>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2B"/>
    <w:rsid w:val="0022066D"/>
    <w:rsid w:val="0022086B"/>
    <w:rsid w:val="002208A0"/>
    <w:rsid w:val="00221095"/>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C87"/>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B7F"/>
    <w:rsid w:val="00262D8D"/>
    <w:rsid w:val="0026334E"/>
    <w:rsid w:val="002634D4"/>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2E20"/>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D7DCD"/>
    <w:rsid w:val="002E03A9"/>
    <w:rsid w:val="002E054C"/>
    <w:rsid w:val="002E0814"/>
    <w:rsid w:val="002E08F5"/>
    <w:rsid w:val="002E1C71"/>
    <w:rsid w:val="002E1D5A"/>
    <w:rsid w:val="002E1DA5"/>
    <w:rsid w:val="002E2E08"/>
    <w:rsid w:val="002E35DC"/>
    <w:rsid w:val="002E4C7F"/>
    <w:rsid w:val="002E4F10"/>
    <w:rsid w:val="002E5152"/>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1C6A"/>
    <w:rsid w:val="0033218F"/>
    <w:rsid w:val="00332709"/>
    <w:rsid w:val="00332A58"/>
    <w:rsid w:val="00333185"/>
    <w:rsid w:val="00333319"/>
    <w:rsid w:val="00333594"/>
    <w:rsid w:val="00333E46"/>
    <w:rsid w:val="0033404E"/>
    <w:rsid w:val="0033464F"/>
    <w:rsid w:val="00334AA0"/>
    <w:rsid w:val="00334C64"/>
    <w:rsid w:val="00334FCF"/>
    <w:rsid w:val="003350C7"/>
    <w:rsid w:val="00335473"/>
    <w:rsid w:val="00335F0B"/>
    <w:rsid w:val="00336B61"/>
    <w:rsid w:val="003370DD"/>
    <w:rsid w:val="0033715B"/>
    <w:rsid w:val="00340EC0"/>
    <w:rsid w:val="00340FB3"/>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12B"/>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0A4"/>
    <w:rsid w:val="0036294F"/>
    <w:rsid w:val="0036408B"/>
    <w:rsid w:val="003642A6"/>
    <w:rsid w:val="00364347"/>
    <w:rsid w:val="003649D3"/>
    <w:rsid w:val="00365B13"/>
    <w:rsid w:val="00365D8F"/>
    <w:rsid w:val="0036634E"/>
    <w:rsid w:val="0036652C"/>
    <w:rsid w:val="00366BC8"/>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869"/>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2D81"/>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2F"/>
    <w:rsid w:val="003C02AC"/>
    <w:rsid w:val="003C0622"/>
    <w:rsid w:val="003C0717"/>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279F"/>
    <w:rsid w:val="003E32E1"/>
    <w:rsid w:val="003E3655"/>
    <w:rsid w:val="003E368E"/>
    <w:rsid w:val="003E3963"/>
    <w:rsid w:val="003E3FD0"/>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46"/>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45F"/>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6836"/>
    <w:rsid w:val="00456CEE"/>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182"/>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87E0D"/>
    <w:rsid w:val="00490B88"/>
    <w:rsid w:val="00490BE2"/>
    <w:rsid w:val="00491695"/>
    <w:rsid w:val="0049178A"/>
    <w:rsid w:val="004918A2"/>
    <w:rsid w:val="00492CF8"/>
    <w:rsid w:val="004932B2"/>
    <w:rsid w:val="00493771"/>
    <w:rsid w:val="00493F45"/>
    <w:rsid w:val="00494461"/>
    <w:rsid w:val="004948FD"/>
    <w:rsid w:val="00495979"/>
    <w:rsid w:val="00495D35"/>
    <w:rsid w:val="00495FCE"/>
    <w:rsid w:val="004960FF"/>
    <w:rsid w:val="004962A9"/>
    <w:rsid w:val="004966C3"/>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5EE"/>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2C68"/>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383F"/>
    <w:rsid w:val="004F452D"/>
    <w:rsid w:val="004F4ED7"/>
    <w:rsid w:val="004F53B8"/>
    <w:rsid w:val="004F5835"/>
    <w:rsid w:val="004F5B88"/>
    <w:rsid w:val="004F5C6B"/>
    <w:rsid w:val="004F5C7E"/>
    <w:rsid w:val="004F64EC"/>
    <w:rsid w:val="004F72FD"/>
    <w:rsid w:val="004F76E2"/>
    <w:rsid w:val="004F7890"/>
    <w:rsid w:val="00500815"/>
    <w:rsid w:val="005017E0"/>
    <w:rsid w:val="00501B1E"/>
    <w:rsid w:val="005023B2"/>
    <w:rsid w:val="00502410"/>
    <w:rsid w:val="00503196"/>
    <w:rsid w:val="005032CB"/>
    <w:rsid w:val="005036E5"/>
    <w:rsid w:val="00503BB1"/>
    <w:rsid w:val="00503D36"/>
    <w:rsid w:val="00503EDB"/>
    <w:rsid w:val="00504684"/>
    <w:rsid w:val="005048AB"/>
    <w:rsid w:val="00504CCA"/>
    <w:rsid w:val="00505670"/>
    <w:rsid w:val="00505CDA"/>
    <w:rsid w:val="0050609A"/>
    <w:rsid w:val="005060ED"/>
    <w:rsid w:val="00506436"/>
    <w:rsid w:val="00506596"/>
    <w:rsid w:val="00507B82"/>
    <w:rsid w:val="0051041A"/>
    <w:rsid w:val="005104AB"/>
    <w:rsid w:val="005105FA"/>
    <w:rsid w:val="005106B5"/>
    <w:rsid w:val="00510819"/>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58B3"/>
    <w:rsid w:val="0052602F"/>
    <w:rsid w:val="00527A83"/>
    <w:rsid w:val="00527A8E"/>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48FD"/>
    <w:rsid w:val="00535022"/>
    <w:rsid w:val="0053541F"/>
    <w:rsid w:val="00535467"/>
    <w:rsid w:val="00535E21"/>
    <w:rsid w:val="005368DE"/>
    <w:rsid w:val="00537CBB"/>
    <w:rsid w:val="00540BBE"/>
    <w:rsid w:val="00541403"/>
    <w:rsid w:val="0054246B"/>
    <w:rsid w:val="005424D2"/>
    <w:rsid w:val="00543C04"/>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14E"/>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628"/>
    <w:rsid w:val="005A1CDB"/>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247"/>
    <w:rsid w:val="005B0319"/>
    <w:rsid w:val="005B0472"/>
    <w:rsid w:val="005B10D4"/>
    <w:rsid w:val="005B1651"/>
    <w:rsid w:val="005B165C"/>
    <w:rsid w:val="005B1957"/>
    <w:rsid w:val="005B1ACF"/>
    <w:rsid w:val="005B1B24"/>
    <w:rsid w:val="005B1F27"/>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9E6"/>
    <w:rsid w:val="005C5A64"/>
    <w:rsid w:val="005C5ED7"/>
    <w:rsid w:val="005C5F96"/>
    <w:rsid w:val="005C6A95"/>
    <w:rsid w:val="005C6E40"/>
    <w:rsid w:val="005C730C"/>
    <w:rsid w:val="005C748C"/>
    <w:rsid w:val="005C7F0B"/>
    <w:rsid w:val="005D0100"/>
    <w:rsid w:val="005D05E3"/>
    <w:rsid w:val="005D0890"/>
    <w:rsid w:val="005D0D24"/>
    <w:rsid w:val="005D100E"/>
    <w:rsid w:val="005D10BA"/>
    <w:rsid w:val="005D1447"/>
    <w:rsid w:val="005D186D"/>
    <w:rsid w:val="005D198E"/>
    <w:rsid w:val="005D22A1"/>
    <w:rsid w:val="005D332F"/>
    <w:rsid w:val="005D353F"/>
    <w:rsid w:val="005D36FD"/>
    <w:rsid w:val="005D39A4"/>
    <w:rsid w:val="005D3B3E"/>
    <w:rsid w:val="005D4892"/>
    <w:rsid w:val="005D5435"/>
    <w:rsid w:val="005D5B3C"/>
    <w:rsid w:val="005D61F6"/>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65A"/>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102"/>
    <w:rsid w:val="00617E64"/>
    <w:rsid w:val="00617F8F"/>
    <w:rsid w:val="006200B4"/>
    <w:rsid w:val="0062021A"/>
    <w:rsid w:val="006202B1"/>
    <w:rsid w:val="006209AA"/>
    <w:rsid w:val="006209EE"/>
    <w:rsid w:val="00621263"/>
    <w:rsid w:val="0062164D"/>
    <w:rsid w:val="00621770"/>
    <w:rsid w:val="006218C7"/>
    <w:rsid w:val="00621DFE"/>
    <w:rsid w:val="0062215F"/>
    <w:rsid w:val="00622702"/>
    <w:rsid w:val="0062286A"/>
    <w:rsid w:val="00622F66"/>
    <w:rsid w:val="006230F7"/>
    <w:rsid w:val="006235FC"/>
    <w:rsid w:val="00625BD0"/>
    <w:rsid w:val="00625EE2"/>
    <w:rsid w:val="00626381"/>
    <w:rsid w:val="00626401"/>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57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12"/>
    <w:rsid w:val="006679FE"/>
    <w:rsid w:val="0067013D"/>
    <w:rsid w:val="0067024D"/>
    <w:rsid w:val="00670694"/>
    <w:rsid w:val="006706CD"/>
    <w:rsid w:val="006717A3"/>
    <w:rsid w:val="006719FE"/>
    <w:rsid w:val="00671C7D"/>
    <w:rsid w:val="00672309"/>
    <w:rsid w:val="00672FF1"/>
    <w:rsid w:val="006731C4"/>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7793D"/>
    <w:rsid w:val="00677EC1"/>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180"/>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1EE5"/>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893"/>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5F4A"/>
    <w:rsid w:val="006E6613"/>
    <w:rsid w:val="006E6855"/>
    <w:rsid w:val="006E6BA3"/>
    <w:rsid w:val="006E6BAF"/>
    <w:rsid w:val="006E74F6"/>
    <w:rsid w:val="006E765E"/>
    <w:rsid w:val="006F0076"/>
    <w:rsid w:val="006F0081"/>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795"/>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C61"/>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15"/>
    <w:rsid w:val="00723585"/>
    <w:rsid w:val="00724375"/>
    <w:rsid w:val="0072442F"/>
    <w:rsid w:val="00724849"/>
    <w:rsid w:val="007253FE"/>
    <w:rsid w:val="00726200"/>
    <w:rsid w:val="00726285"/>
    <w:rsid w:val="00726344"/>
    <w:rsid w:val="00726439"/>
    <w:rsid w:val="00726C6F"/>
    <w:rsid w:val="00727DF5"/>
    <w:rsid w:val="00727FD1"/>
    <w:rsid w:val="00731A4B"/>
    <w:rsid w:val="00731F3E"/>
    <w:rsid w:val="00733392"/>
    <w:rsid w:val="0073413F"/>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2FFF"/>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ED5"/>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444"/>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7D8"/>
    <w:rsid w:val="007A095B"/>
    <w:rsid w:val="007A0A67"/>
    <w:rsid w:val="007A0D1C"/>
    <w:rsid w:val="007A13E6"/>
    <w:rsid w:val="007A27C8"/>
    <w:rsid w:val="007A28C3"/>
    <w:rsid w:val="007A2FB8"/>
    <w:rsid w:val="007A3167"/>
    <w:rsid w:val="007A3357"/>
    <w:rsid w:val="007A3BD5"/>
    <w:rsid w:val="007A44DC"/>
    <w:rsid w:val="007A47B1"/>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1F27"/>
    <w:rsid w:val="007C2086"/>
    <w:rsid w:val="007C2235"/>
    <w:rsid w:val="007C2739"/>
    <w:rsid w:val="007C27F7"/>
    <w:rsid w:val="007C2D4C"/>
    <w:rsid w:val="007C3162"/>
    <w:rsid w:val="007C3550"/>
    <w:rsid w:val="007C37F1"/>
    <w:rsid w:val="007C421B"/>
    <w:rsid w:val="007C49E1"/>
    <w:rsid w:val="007C4F84"/>
    <w:rsid w:val="007C528F"/>
    <w:rsid w:val="007C5435"/>
    <w:rsid w:val="007C5B54"/>
    <w:rsid w:val="007C6857"/>
    <w:rsid w:val="007C6B91"/>
    <w:rsid w:val="007C70E0"/>
    <w:rsid w:val="007C77FC"/>
    <w:rsid w:val="007C79D5"/>
    <w:rsid w:val="007C7C95"/>
    <w:rsid w:val="007D0275"/>
    <w:rsid w:val="007D0C44"/>
    <w:rsid w:val="007D0D6C"/>
    <w:rsid w:val="007D20AB"/>
    <w:rsid w:val="007D214D"/>
    <w:rsid w:val="007D2AA0"/>
    <w:rsid w:val="007D30DC"/>
    <w:rsid w:val="007D3A69"/>
    <w:rsid w:val="007D3B6C"/>
    <w:rsid w:val="007D4158"/>
    <w:rsid w:val="007D43D4"/>
    <w:rsid w:val="007D493E"/>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165"/>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2D1"/>
    <w:rsid w:val="007F58C9"/>
    <w:rsid w:val="007F617E"/>
    <w:rsid w:val="007F62FD"/>
    <w:rsid w:val="007F6BC4"/>
    <w:rsid w:val="007F7441"/>
    <w:rsid w:val="007F77A2"/>
    <w:rsid w:val="007F7852"/>
    <w:rsid w:val="007F7B07"/>
    <w:rsid w:val="00800257"/>
    <w:rsid w:val="008009CB"/>
    <w:rsid w:val="008012D1"/>
    <w:rsid w:val="0080153E"/>
    <w:rsid w:val="00802240"/>
    <w:rsid w:val="008024BB"/>
    <w:rsid w:val="008027A8"/>
    <w:rsid w:val="00802AEC"/>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2228"/>
    <w:rsid w:val="008132E0"/>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6E82"/>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1F"/>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0FA2"/>
    <w:rsid w:val="0085158E"/>
    <w:rsid w:val="00851AB3"/>
    <w:rsid w:val="00852137"/>
    <w:rsid w:val="0085231C"/>
    <w:rsid w:val="0085264B"/>
    <w:rsid w:val="008528FA"/>
    <w:rsid w:val="00852C83"/>
    <w:rsid w:val="0085321D"/>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B33"/>
    <w:rsid w:val="00881C68"/>
    <w:rsid w:val="008823AA"/>
    <w:rsid w:val="00882419"/>
    <w:rsid w:val="00882EC6"/>
    <w:rsid w:val="00882F80"/>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895"/>
    <w:rsid w:val="008A6920"/>
    <w:rsid w:val="008A7C6D"/>
    <w:rsid w:val="008B020D"/>
    <w:rsid w:val="008B042F"/>
    <w:rsid w:val="008B06B4"/>
    <w:rsid w:val="008B0A66"/>
    <w:rsid w:val="008B0F94"/>
    <w:rsid w:val="008B2555"/>
    <w:rsid w:val="008B26FB"/>
    <w:rsid w:val="008B2933"/>
    <w:rsid w:val="008B2E89"/>
    <w:rsid w:val="008B3A0A"/>
    <w:rsid w:val="008B3D05"/>
    <w:rsid w:val="008B45E7"/>
    <w:rsid w:val="008B471E"/>
    <w:rsid w:val="008B5290"/>
    <w:rsid w:val="008B55FA"/>
    <w:rsid w:val="008B60A7"/>
    <w:rsid w:val="008B6594"/>
    <w:rsid w:val="008B6D94"/>
    <w:rsid w:val="008B6FEB"/>
    <w:rsid w:val="008B77B0"/>
    <w:rsid w:val="008C09EB"/>
    <w:rsid w:val="008C12FE"/>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5A13"/>
    <w:rsid w:val="008D6686"/>
    <w:rsid w:val="008D66DD"/>
    <w:rsid w:val="008D6E96"/>
    <w:rsid w:val="008D702D"/>
    <w:rsid w:val="008D7472"/>
    <w:rsid w:val="008D74C6"/>
    <w:rsid w:val="008D761E"/>
    <w:rsid w:val="008D766F"/>
    <w:rsid w:val="008D7899"/>
    <w:rsid w:val="008D7996"/>
    <w:rsid w:val="008D7C45"/>
    <w:rsid w:val="008E003C"/>
    <w:rsid w:val="008E041E"/>
    <w:rsid w:val="008E0F52"/>
    <w:rsid w:val="008E135B"/>
    <w:rsid w:val="008E14D7"/>
    <w:rsid w:val="008E20F9"/>
    <w:rsid w:val="008E22E8"/>
    <w:rsid w:val="008E2343"/>
    <w:rsid w:val="008E2A18"/>
    <w:rsid w:val="008E2DB4"/>
    <w:rsid w:val="008E2FC7"/>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29E"/>
    <w:rsid w:val="009063E6"/>
    <w:rsid w:val="0090653B"/>
    <w:rsid w:val="00906AF6"/>
    <w:rsid w:val="00907259"/>
    <w:rsid w:val="009072D4"/>
    <w:rsid w:val="00907E0A"/>
    <w:rsid w:val="0091019E"/>
    <w:rsid w:val="00910AFF"/>
    <w:rsid w:val="00911609"/>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3E6E"/>
    <w:rsid w:val="00924457"/>
    <w:rsid w:val="009244E1"/>
    <w:rsid w:val="0092488D"/>
    <w:rsid w:val="00925230"/>
    <w:rsid w:val="009256D9"/>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C5F"/>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400"/>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3A1"/>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92"/>
    <w:rsid w:val="009A47F9"/>
    <w:rsid w:val="009A4BE6"/>
    <w:rsid w:val="009A617A"/>
    <w:rsid w:val="009A6416"/>
    <w:rsid w:val="009A64C2"/>
    <w:rsid w:val="009A69C2"/>
    <w:rsid w:val="009A6C80"/>
    <w:rsid w:val="009A6E4A"/>
    <w:rsid w:val="009A6E57"/>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116"/>
    <w:rsid w:val="009B43CD"/>
    <w:rsid w:val="009B4402"/>
    <w:rsid w:val="009B52DA"/>
    <w:rsid w:val="009B5455"/>
    <w:rsid w:val="009B54D7"/>
    <w:rsid w:val="009B5510"/>
    <w:rsid w:val="009B5530"/>
    <w:rsid w:val="009B5952"/>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1B0E"/>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9E7"/>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5AC6"/>
    <w:rsid w:val="00A15FBD"/>
    <w:rsid w:val="00A16419"/>
    <w:rsid w:val="00A1729F"/>
    <w:rsid w:val="00A17410"/>
    <w:rsid w:val="00A2024B"/>
    <w:rsid w:val="00A20D44"/>
    <w:rsid w:val="00A20E84"/>
    <w:rsid w:val="00A210B5"/>
    <w:rsid w:val="00A2186C"/>
    <w:rsid w:val="00A21B13"/>
    <w:rsid w:val="00A22CD3"/>
    <w:rsid w:val="00A22DFE"/>
    <w:rsid w:val="00A23174"/>
    <w:rsid w:val="00A23A7D"/>
    <w:rsid w:val="00A23BF2"/>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5D0"/>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83A"/>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20B"/>
    <w:rsid w:val="00A82317"/>
    <w:rsid w:val="00A826A2"/>
    <w:rsid w:val="00A8293D"/>
    <w:rsid w:val="00A83337"/>
    <w:rsid w:val="00A83BE5"/>
    <w:rsid w:val="00A83DE6"/>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0F0C"/>
    <w:rsid w:val="00A918E6"/>
    <w:rsid w:val="00A91E24"/>
    <w:rsid w:val="00A91F16"/>
    <w:rsid w:val="00A92FB2"/>
    <w:rsid w:val="00A938E6"/>
    <w:rsid w:val="00A93B69"/>
    <w:rsid w:val="00A93FE5"/>
    <w:rsid w:val="00A940D0"/>
    <w:rsid w:val="00A943B4"/>
    <w:rsid w:val="00A9520A"/>
    <w:rsid w:val="00A9537B"/>
    <w:rsid w:val="00A9542F"/>
    <w:rsid w:val="00A95DE6"/>
    <w:rsid w:val="00A9635C"/>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32C"/>
    <w:rsid w:val="00AA5718"/>
    <w:rsid w:val="00AA5864"/>
    <w:rsid w:val="00AA58E9"/>
    <w:rsid w:val="00AA5F58"/>
    <w:rsid w:val="00AA61D6"/>
    <w:rsid w:val="00AA64A1"/>
    <w:rsid w:val="00AA66D3"/>
    <w:rsid w:val="00AA6AEB"/>
    <w:rsid w:val="00AA6C41"/>
    <w:rsid w:val="00AA6C91"/>
    <w:rsid w:val="00AA713E"/>
    <w:rsid w:val="00AA7933"/>
    <w:rsid w:val="00AA7B4F"/>
    <w:rsid w:val="00AA7F60"/>
    <w:rsid w:val="00AB0376"/>
    <w:rsid w:val="00AB068D"/>
    <w:rsid w:val="00AB071F"/>
    <w:rsid w:val="00AB0B0A"/>
    <w:rsid w:val="00AB1143"/>
    <w:rsid w:val="00AB1FCC"/>
    <w:rsid w:val="00AB2409"/>
    <w:rsid w:val="00AB2452"/>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30A"/>
    <w:rsid w:val="00AC3803"/>
    <w:rsid w:val="00AC3D37"/>
    <w:rsid w:val="00AC4A8C"/>
    <w:rsid w:val="00AC5065"/>
    <w:rsid w:val="00AC5746"/>
    <w:rsid w:val="00AC589B"/>
    <w:rsid w:val="00AC5F02"/>
    <w:rsid w:val="00AC6C8E"/>
    <w:rsid w:val="00AC6F34"/>
    <w:rsid w:val="00AC70B0"/>
    <w:rsid w:val="00AC7460"/>
    <w:rsid w:val="00AC7AE1"/>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59B"/>
    <w:rsid w:val="00B04AB1"/>
    <w:rsid w:val="00B04E18"/>
    <w:rsid w:val="00B05903"/>
    <w:rsid w:val="00B05FA4"/>
    <w:rsid w:val="00B061DB"/>
    <w:rsid w:val="00B06A17"/>
    <w:rsid w:val="00B06ED6"/>
    <w:rsid w:val="00B0739A"/>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1BA"/>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4FE"/>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799F"/>
    <w:rsid w:val="00B37A01"/>
    <w:rsid w:val="00B37A93"/>
    <w:rsid w:val="00B37F49"/>
    <w:rsid w:val="00B37F5A"/>
    <w:rsid w:val="00B40186"/>
    <w:rsid w:val="00B40481"/>
    <w:rsid w:val="00B40B6C"/>
    <w:rsid w:val="00B4129E"/>
    <w:rsid w:val="00B4132E"/>
    <w:rsid w:val="00B41628"/>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1EBE"/>
    <w:rsid w:val="00B62D08"/>
    <w:rsid w:val="00B63337"/>
    <w:rsid w:val="00B6374D"/>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E12"/>
    <w:rsid w:val="00B760F4"/>
    <w:rsid w:val="00B765C6"/>
    <w:rsid w:val="00B76C45"/>
    <w:rsid w:val="00B77DAF"/>
    <w:rsid w:val="00B77F37"/>
    <w:rsid w:val="00B80343"/>
    <w:rsid w:val="00B805BC"/>
    <w:rsid w:val="00B80CE7"/>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1CC"/>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737"/>
    <w:rsid w:val="00BA3E3E"/>
    <w:rsid w:val="00BA4BE0"/>
    <w:rsid w:val="00BA546D"/>
    <w:rsid w:val="00BA5E52"/>
    <w:rsid w:val="00BA6367"/>
    <w:rsid w:val="00BA6446"/>
    <w:rsid w:val="00BA668E"/>
    <w:rsid w:val="00BA675F"/>
    <w:rsid w:val="00BA6FAD"/>
    <w:rsid w:val="00BA70AC"/>
    <w:rsid w:val="00BA7235"/>
    <w:rsid w:val="00BA7D32"/>
    <w:rsid w:val="00BA7F5F"/>
    <w:rsid w:val="00BB045C"/>
    <w:rsid w:val="00BB07B8"/>
    <w:rsid w:val="00BB0816"/>
    <w:rsid w:val="00BB0D1E"/>
    <w:rsid w:val="00BB1AA4"/>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3CA2"/>
    <w:rsid w:val="00BC401B"/>
    <w:rsid w:val="00BC5104"/>
    <w:rsid w:val="00BC5111"/>
    <w:rsid w:val="00BC5AA7"/>
    <w:rsid w:val="00BC6343"/>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2FEE"/>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E71F7"/>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4B44"/>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07C"/>
    <w:rsid w:val="00C3257A"/>
    <w:rsid w:val="00C32B36"/>
    <w:rsid w:val="00C34364"/>
    <w:rsid w:val="00C3550C"/>
    <w:rsid w:val="00C35E7A"/>
    <w:rsid w:val="00C362AE"/>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7732"/>
    <w:rsid w:val="00C47A87"/>
    <w:rsid w:val="00C47B5C"/>
    <w:rsid w:val="00C500FF"/>
    <w:rsid w:val="00C504A1"/>
    <w:rsid w:val="00C5092C"/>
    <w:rsid w:val="00C50B1E"/>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6BA"/>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DFC"/>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884"/>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0B1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2D2"/>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3F10"/>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596B"/>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7DD"/>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4D89"/>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00E"/>
    <w:rsid w:val="00D36968"/>
    <w:rsid w:val="00D36AFB"/>
    <w:rsid w:val="00D37129"/>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2B"/>
    <w:rsid w:val="00D57E70"/>
    <w:rsid w:val="00D603DD"/>
    <w:rsid w:val="00D6048B"/>
    <w:rsid w:val="00D60745"/>
    <w:rsid w:val="00D609C6"/>
    <w:rsid w:val="00D60AE2"/>
    <w:rsid w:val="00D60EEB"/>
    <w:rsid w:val="00D6349E"/>
    <w:rsid w:val="00D6353C"/>
    <w:rsid w:val="00D63919"/>
    <w:rsid w:val="00D640CB"/>
    <w:rsid w:val="00D644F5"/>
    <w:rsid w:val="00D64617"/>
    <w:rsid w:val="00D64E5E"/>
    <w:rsid w:val="00D65BA8"/>
    <w:rsid w:val="00D65D4C"/>
    <w:rsid w:val="00D65E2A"/>
    <w:rsid w:val="00D6605C"/>
    <w:rsid w:val="00D666F2"/>
    <w:rsid w:val="00D6728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2D"/>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27D"/>
    <w:rsid w:val="00D95982"/>
    <w:rsid w:val="00D964D5"/>
    <w:rsid w:val="00D96D73"/>
    <w:rsid w:val="00D9716A"/>
    <w:rsid w:val="00D97DAE"/>
    <w:rsid w:val="00D97F1B"/>
    <w:rsid w:val="00DA0048"/>
    <w:rsid w:val="00DA0070"/>
    <w:rsid w:val="00DA04BE"/>
    <w:rsid w:val="00DA0691"/>
    <w:rsid w:val="00DA06F9"/>
    <w:rsid w:val="00DA08A7"/>
    <w:rsid w:val="00DA0AC3"/>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3AD"/>
    <w:rsid w:val="00DA587A"/>
    <w:rsid w:val="00DA610D"/>
    <w:rsid w:val="00DA6729"/>
    <w:rsid w:val="00DA6751"/>
    <w:rsid w:val="00DA6898"/>
    <w:rsid w:val="00DA6B33"/>
    <w:rsid w:val="00DA6F24"/>
    <w:rsid w:val="00DA73F2"/>
    <w:rsid w:val="00DA7683"/>
    <w:rsid w:val="00DA77A0"/>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2FF"/>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1AE"/>
    <w:rsid w:val="00DD636E"/>
    <w:rsid w:val="00DD63EA"/>
    <w:rsid w:val="00DD6A00"/>
    <w:rsid w:val="00DD6C23"/>
    <w:rsid w:val="00DD7195"/>
    <w:rsid w:val="00DD7832"/>
    <w:rsid w:val="00DD7FEF"/>
    <w:rsid w:val="00DE0E4B"/>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6BF"/>
    <w:rsid w:val="00DF3DD5"/>
    <w:rsid w:val="00DF42F3"/>
    <w:rsid w:val="00DF4F9B"/>
    <w:rsid w:val="00DF574A"/>
    <w:rsid w:val="00DF62B6"/>
    <w:rsid w:val="00DF63EF"/>
    <w:rsid w:val="00DF649D"/>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27EB9"/>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787"/>
    <w:rsid w:val="00E71C13"/>
    <w:rsid w:val="00E72235"/>
    <w:rsid w:val="00E72A27"/>
    <w:rsid w:val="00E73C4D"/>
    <w:rsid w:val="00E7403B"/>
    <w:rsid w:val="00E743B6"/>
    <w:rsid w:val="00E74DB9"/>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4E28"/>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96F"/>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78"/>
    <w:rsid w:val="00ED32C8"/>
    <w:rsid w:val="00ED33BD"/>
    <w:rsid w:val="00ED36E1"/>
    <w:rsid w:val="00ED39D3"/>
    <w:rsid w:val="00ED3A5C"/>
    <w:rsid w:val="00ED3E02"/>
    <w:rsid w:val="00ED3FF8"/>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297B"/>
    <w:rsid w:val="00EF3325"/>
    <w:rsid w:val="00EF3390"/>
    <w:rsid w:val="00EF3499"/>
    <w:rsid w:val="00EF47C7"/>
    <w:rsid w:val="00EF5A32"/>
    <w:rsid w:val="00EF5B80"/>
    <w:rsid w:val="00EF6954"/>
    <w:rsid w:val="00EF7B81"/>
    <w:rsid w:val="00F005DA"/>
    <w:rsid w:val="00F00766"/>
    <w:rsid w:val="00F00BEB"/>
    <w:rsid w:val="00F00CE2"/>
    <w:rsid w:val="00F00D60"/>
    <w:rsid w:val="00F01450"/>
    <w:rsid w:val="00F01535"/>
    <w:rsid w:val="00F029BF"/>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2A36"/>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56B"/>
    <w:rsid w:val="00F349F2"/>
    <w:rsid w:val="00F34B09"/>
    <w:rsid w:val="00F3680A"/>
    <w:rsid w:val="00F3697A"/>
    <w:rsid w:val="00F37392"/>
    <w:rsid w:val="00F37B13"/>
    <w:rsid w:val="00F401B1"/>
    <w:rsid w:val="00F40A10"/>
    <w:rsid w:val="00F4140C"/>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0DD"/>
    <w:rsid w:val="00F4713C"/>
    <w:rsid w:val="00F472A3"/>
    <w:rsid w:val="00F472CD"/>
    <w:rsid w:val="00F476C9"/>
    <w:rsid w:val="00F47A26"/>
    <w:rsid w:val="00F5006C"/>
    <w:rsid w:val="00F50CBD"/>
    <w:rsid w:val="00F50F2A"/>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68"/>
    <w:rsid w:val="00F65FFC"/>
    <w:rsid w:val="00F669B1"/>
    <w:rsid w:val="00F66BB4"/>
    <w:rsid w:val="00F66D26"/>
    <w:rsid w:val="00F66E86"/>
    <w:rsid w:val="00F671DB"/>
    <w:rsid w:val="00F6720C"/>
    <w:rsid w:val="00F679DA"/>
    <w:rsid w:val="00F703DB"/>
    <w:rsid w:val="00F7081F"/>
    <w:rsid w:val="00F7082C"/>
    <w:rsid w:val="00F71595"/>
    <w:rsid w:val="00F71FA3"/>
    <w:rsid w:val="00F72A16"/>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157"/>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74A"/>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ADB"/>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43"/>
    <w:rsid w:val="00FB03A1"/>
    <w:rsid w:val="00FB06CC"/>
    <w:rsid w:val="00FB0ADB"/>
    <w:rsid w:val="00FB104C"/>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4F6F"/>
    <w:rsid w:val="00FC55E5"/>
    <w:rsid w:val="00FC57BB"/>
    <w:rsid w:val="00FC59C4"/>
    <w:rsid w:val="00FC5E56"/>
    <w:rsid w:val="00FC604E"/>
    <w:rsid w:val="00FC6451"/>
    <w:rsid w:val="00FC6587"/>
    <w:rsid w:val="00FC67F5"/>
    <w:rsid w:val="00FC6ABE"/>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31"/>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A9"/>
    <w:rsid w:val="00FE47B1"/>
    <w:rsid w:val="00FE4DBB"/>
    <w:rsid w:val="00FE536D"/>
    <w:rsid w:val="00FE631D"/>
    <w:rsid w:val="00FE6958"/>
    <w:rsid w:val="00FE6A1A"/>
    <w:rsid w:val="00FE6F69"/>
    <w:rsid w:val="00FE763F"/>
    <w:rsid w:val="00FF0056"/>
    <w:rsid w:val="00FF12D4"/>
    <w:rsid w:val="00FF1692"/>
    <w:rsid w:val="00FF16F2"/>
    <w:rsid w:val="00FF1737"/>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5AC6"/>
    <w:pPr>
      <w:spacing w:after="160" w:line="259" w:lineRule="auto"/>
    </w:pPr>
    <w:rPr>
      <w:rFonts w:asciiTheme="minorHAnsi" w:eastAsiaTheme="minorEastAsia" w:hAnsiTheme="minorHAnsi" w:cstheme="minorBidi"/>
      <w:sz w:val="22"/>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15AC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15AC6"/>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qFormat/>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5346077">
      <w:bodyDiv w:val="1"/>
      <w:marLeft w:val="0"/>
      <w:marRight w:val="0"/>
      <w:marTop w:val="0"/>
      <w:marBottom w:val="0"/>
      <w:divBdr>
        <w:top w:val="none" w:sz="0" w:space="0" w:color="auto"/>
        <w:left w:val="none" w:sz="0" w:space="0" w:color="auto"/>
        <w:bottom w:val="none" w:sz="0" w:space="0" w:color="auto"/>
        <w:right w:val="none" w:sz="0" w:space="0" w:color="auto"/>
      </w:divBdr>
      <w:divsChild>
        <w:div w:id="812940238">
          <w:marLeft w:val="1166"/>
          <w:marRight w:val="0"/>
          <w:marTop w:val="0"/>
          <w:marBottom w:val="0"/>
          <w:divBdr>
            <w:top w:val="none" w:sz="0" w:space="0" w:color="auto"/>
            <w:left w:val="none" w:sz="0" w:space="0" w:color="auto"/>
            <w:bottom w:val="none" w:sz="0" w:space="0" w:color="auto"/>
            <w:right w:val="none" w:sz="0" w:space="0" w:color="auto"/>
          </w:divBdr>
        </w:div>
        <w:div w:id="506873585">
          <w:marLeft w:val="1166"/>
          <w:marRight w:val="0"/>
          <w:marTop w:val="0"/>
          <w:marBottom w:val="0"/>
          <w:divBdr>
            <w:top w:val="none" w:sz="0" w:space="0" w:color="auto"/>
            <w:left w:val="none" w:sz="0" w:space="0" w:color="auto"/>
            <w:bottom w:val="none" w:sz="0" w:space="0" w:color="auto"/>
            <w:right w:val="none" w:sz="0" w:space="0" w:color="auto"/>
          </w:divBdr>
        </w:div>
        <w:div w:id="104007645">
          <w:marLeft w:val="1166"/>
          <w:marRight w:val="0"/>
          <w:marTop w:val="0"/>
          <w:marBottom w:val="0"/>
          <w:divBdr>
            <w:top w:val="none" w:sz="0" w:space="0" w:color="auto"/>
            <w:left w:val="none" w:sz="0" w:space="0" w:color="auto"/>
            <w:bottom w:val="none" w:sz="0" w:space="0" w:color="auto"/>
            <w:right w:val="none" w:sz="0" w:space="0" w:color="auto"/>
          </w:divBdr>
        </w:div>
        <w:div w:id="1364090767">
          <w:marLeft w:val="1166"/>
          <w:marRight w:val="0"/>
          <w:marTop w:val="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416051">
      <w:bodyDiv w:val="1"/>
      <w:marLeft w:val="0"/>
      <w:marRight w:val="0"/>
      <w:marTop w:val="0"/>
      <w:marBottom w:val="0"/>
      <w:divBdr>
        <w:top w:val="none" w:sz="0" w:space="0" w:color="auto"/>
        <w:left w:val="none" w:sz="0" w:space="0" w:color="auto"/>
        <w:bottom w:val="none" w:sz="0" w:space="0" w:color="auto"/>
        <w:right w:val="none" w:sz="0" w:space="0" w:color="auto"/>
      </w:divBdr>
      <w:divsChild>
        <w:div w:id="90664094">
          <w:marLeft w:val="547"/>
          <w:marRight w:val="0"/>
          <w:marTop w:val="115"/>
          <w:marBottom w:val="0"/>
          <w:divBdr>
            <w:top w:val="none" w:sz="0" w:space="0" w:color="auto"/>
            <w:left w:val="none" w:sz="0" w:space="0" w:color="auto"/>
            <w:bottom w:val="none" w:sz="0" w:space="0" w:color="auto"/>
            <w:right w:val="none" w:sz="0" w:space="0" w:color="auto"/>
          </w:divBdr>
        </w:div>
        <w:div w:id="1971009679">
          <w:marLeft w:val="547"/>
          <w:marRight w:val="0"/>
          <w:marTop w:val="115"/>
          <w:marBottom w:val="0"/>
          <w:divBdr>
            <w:top w:val="none" w:sz="0" w:space="0" w:color="auto"/>
            <w:left w:val="none" w:sz="0" w:space="0" w:color="auto"/>
            <w:bottom w:val="none" w:sz="0" w:space="0" w:color="auto"/>
            <w:right w:val="none" w:sz="0" w:space="0" w:color="auto"/>
          </w:divBdr>
        </w:div>
        <w:div w:id="1665813832">
          <w:marLeft w:val="1166"/>
          <w:marRight w:val="0"/>
          <w:marTop w:val="96"/>
          <w:marBottom w:val="0"/>
          <w:divBdr>
            <w:top w:val="none" w:sz="0" w:space="0" w:color="auto"/>
            <w:left w:val="none" w:sz="0" w:space="0" w:color="auto"/>
            <w:bottom w:val="none" w:sz="0" w:space="0" w:color="auto"/>
            <w:right w:val="none" w:sz="0" w:space="0" w:color="auto"/>
          </w:divBdr>
        </w:div>
        <w:div w:id="861016945">
          <w:marLeft w:val="1166"/>
          <w:marRight w:val="0"/>
          <w:marTop w:val="96"/>
          <w:marBottom w:val="0"/>
          <w:divBdr>
            <w:top w:val="none" w:sz="0" w:space="0" w:color="auto"/>
            <w:left w:val="none" w:sz="0" w:space="0" w:color="auto"/>
            <w:bottom w:val="none" w:sz="0" w:space="0" w:color="auto"/>
            <w:right w:val="none" w:sz="0" w:space="0" w:color="auto"/>
          </w:divBdr>
        </w:div>
        <w:div w:id="1281841483">
          <w:marLeft w:val="1166"/>
          <w:marRight w:val="0"/>
          <w:marTop w:val="96"/>
          <w:marBottom w:val="0"/>
          <w:divBdr>
            <w:top w:val="none" w:sz="0" w:space="0" w:color="auto"/>
            <w:left w:val="none" w:sz="0" w:space="0" w:color="auto"/>
            <w:bottom w:val="none" w:sz="0" w:space="0" w:color="auto"/>
            <w:right w:val="none" w:sz="0" w:space="0" w:color="auto"/>
          </w:divBdr>
        </w:div>
        <w:div w:id="756907205">
          <w:marLeft w:val="1166"/>
          <w:marRight w:val="0"/>
          <w:marTop w:val="96"/>
          <w:marBottom w:val="0"/>
          <w:divBdr>
            <w:top w:val="none" w:sz="0" w:space="0" w:color="auto"/>
            <w:left w:val="none" w:sz="0" w:space="0" w:color="auto"/>
            <w:bottom w:val="none" w:sz="0" w:space="0" w:color="auto"/>
            <w:right w:val="none" w:sz="0" w:space="0" w:color="auto"/>
          </w:divBdr>
        </w:div>
        <w:div w:id="1931967330">
          <w:marLeft w:val="1166"/>
          <w:marRight w:val="0"/>
          <w:marTop w:val="96"/>
          <w:marBottom w:val="0"/>
          <w:divBdr>
            <w:top w:val="none" w:sz="0" w:space="0" w:color="auto"/>
            <w:left w:val="none" w:sz="0" w:space="0" w:color="auto"/>
            <w:bottom w:val="none" w:sz="0" w:space="0" w:color="auto"/>
            <w:right w:val="none" w:sz="0" w:space="0" w:color="auto"/>
          </w:divBdr>
        </w:div>
        <w:div w:id="1049453255">
          <w:marLeft w:val="1166"/>
          <w:marRight w:val="0"/>
          <w:marTop w:val="96"/>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63822343">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2184402">
      <w:bodyDiv w:val="1"/>
      <w:marLeft w:val="0"/>
      <w:marRight w:val="0"/>
      <w:marTop w:val="0"/>
      <w:marBottom w:val="0"/>
      <w:divBdr>
        <w:top w:val="none" w:sz="0" w:space="0" w:color="auto"/>
        <w:left w:val="none" w:sz="0" w:space="0" w:color="auto"/>
        <w:bottom w:val="none" w:sz="0" w:space="0" w:color="auto"/>
        <w:right w:val="none" w:sz="0" w:space="0" w:color="auto"/>
      </w:divBdr>
      <w:divsChild>
        <w:div w:id="265499055">
          <w:marLeft w:val="360"/>
          <w:marRight w:val="0"/>
          <w:marTop w:val="200"/>
          <w:marBottom w:val="0"/>
          <w:divBdr>
            <w:top w:val="none" w:sz="0" w:space="0" w:color="auto"/>
            <w:left w:val="none" w:sz="0" w:space="0" w:color="auto"/>
            <w:bottom w:val="none" w:sz="0" w:space="0" w:color="auto"/>
            <w:right w:val="none" w:sz="0" w:space="0" w:color="auto"/>
          </w:divBdr>
        </w:div>
        <w:div w:id="1060324541">
          <w:marLeft w:val="1080"/>
          <w:marRight w:val="0"/>
          <w:marTop w:val="1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324973">
      <w:bodyDiv w:val="1"/>
      <w:marLeft w:val="0"/>
      <w:marRight w:val="0"/>
      <w:marTop w:val="0"/>
      <w:marBottom w:val="0"/>
      <w:divBdr>
        <w:top w:val="none" w:sz="0" w:space="0" w:color="auto"/>
        <w:left w:val="none" w:sz="0" w:space="0" w:color="auto"/>
        <w:bottom w:val="none" w:sz="0" w:space="0" w:color="auto"/>
        <w:right w:val="none" w:sz="0" w:space="0" w:color="auto"/>
      </w:divBdr>
      <w:divsChild>
        <w:div w:id="734352342">
          <w:marLeft w:val="1080"/>
          <w:marRight w:val="0"/>
          <w:marTop w:val="100"/>
          <w:marBottom w:val="0"/>
          <w:divBdr>
            <w:top w:val="none" w:sz="0" w:space="0" w:color="auto"/>
            <w:left w:val="none" w:sz="0" w:space="0" w:color="auto"/>
            <w:bottom w:val="none" w:sz="0" w:space="0" w:color="auto"/>
            <w:right w:val="none" w:sz="0" w:space="0" w:color="auto"/>
          </w:divBdr>
        </w:div>
        <w:div w:id="551188347">
          <w:marLeft w:val="1800"/>
          <w:marRight w:val="0"/>
          <w:marTop w:val="100"/>
          <w:marBottom w:val="0"/>
          <w:divBdr>
            <w:top w:val="none" w:sz="0" w:space="0" w:color="auto"/>
            <w:left w:val="none" w:sz="0" w:space="0" w:color="auto"/>
            <w:bottom w:val="none" w:sz="0" w:space="0" w:color="auto"/>
            <w:right w:val="none" w:sz="0" w:space="0" w:color="auto"/>
          </w:divBdr>
        </w:div>
        <w:div w:id="62264312">
          <w:marLeft w:val="2520"/>
          <w:marRight w:val="0"/>
          <w:marTop w:val="100"/>
          <w:marBottom w:val="0"/>
          <w:divBdr>
            <w:top w:val="none" w:sz="0" w:space="0" w:color="auto"/>
            <w:left w:val="none" w:sz="0" w:space="0" w:color="auto"/>
            <w:bottom w:val="none" w:sz="0" w:space="0" w:color="auto"/>
            <w:right w:val="none" w:sz="0" w:space="0" w:color="auto"/>
          </w:divBdr>
        </w:div>
        <w:div w:id="252054399">
          <w:marLeft w:val="2520"/>
          <w:marRight w:val="0"/>
          <w:marTop w:val="100"/>
          <w:marBottom w:val="0"/>
          <w:divBdr>
            <w:top w:val="none" w:sz="0" w:space="0" w:color="auto"/>
            <w:left w:val="none" w:sz="0" w:space="0" w:color="auto"/>
            <w:bottom w:val="none" w:sz="0" w:space="0" w:color="auto"/>
            <w:right w:val="none" w:sz="0" w:space="0" w:color="auto"/>
          </w:divBdr>
        </w:div>
        <w:div w:id="1565556203">
          <w:marLeft w:val="1080"/>
          <w:marRight w:val="0"/>
          <w:marTop w:val="100"/>
          <w:marBottom w:val="0"/>
          <w:divBdr>
            <w:top w:val="none" w:sz="0" w:space="0" w:color="auto"/>
            <w:left w:val="none" w:sz="0" w:space="0" w:color="auto"/>
            <w:bottom w:val="none" w:sz="0" w:space="0" w:color="auto"/>
            <w:right w:val="none" w:sz="0" w:space="0" w:color="auto"/>
          </w:divBdr>
        </w:div>
        <w:div w:id="1951622492">
          <w:marLeft w:val="1800"/>
          <w:marRight w:val="0"/>
          <w:marTop w:val="100"/>
          <w:marBottom w:val="0"/>
          <w:divBdr>
            <w:top w:val="none" w:sz="0" w:space="0" w:color="auto"/>
            <w:left w:val="none" w:sz="0" w:space="0" w:color="auto"/>
            <w:bottom w:val="none" w:sz="0" w:space="0" w:color="auto"/>
            <w:right w:val="none" w:sz="0" w:space="0" w:color="auto"/>
          </w:divBdr>
        </w:div>
        <w:div w:id="127625568">
          <w:marLeft w:val="2520"/>
          <w:marRight w:val="0"/>
          <w:marTop w:val="100"/>
          <w:marBottom w:val="0"/>
          <w:divBdr>
            <w:top w:val="none" w:sz="0" w:space="0" w:color="auto"/>
            <w:left w:val="none" w:sz="0" w:space="0" w:color="auto"/>
            <w:bottom w:val="none" w:sz="0" w:space="0" w:color="auto"/>
            <w:right w:val="none" w:sz="0" w:space="0" w:color="auto"/>
          </w:divBdr>
        </w:div>
        <w:div w:id="1354528858">
          <w:marLeft w:val="2520"/>
          <w:marRight w:val="0"/>
          <w:marTop w:val="100"/>
          <w:marBottom w:val="0"/>
          <w:divBdr>
            <w:top w:val="none" w:sz="0" w:space="0" w:color="auto"/>
            <w:left w:val="none" w:sz="0" w:space="0" w:color="auto"/>
            <w:bottom w:val="none" w:sz="0" w:space="0" w:color="auto"/>
            <w:right w:val="none" w:sz="0" w:space="0" w:color="auto"/>
          </w:divBdr>
        </w:div>
        <w:div w:id="1442991707">
          <w:marLeft w:val="2520"/>
          <w:marRight w:val="0"/>
          <w:marTop w:val="100"/>
          <w:marBottom w:val="0"/>
          <w:divBdr>
            <w:top w:val="none" w:sz="0" w:space="0" w:color="auto"/>
            <w:left w:val="none" w:sz="0" w:space="0" w:color="auto"/>
            <w:bottom w:val="none" w:sz="0" w:space="0" w:color="auto"/>
            <w:right w:val="none" w:sz="0" w:space="0" w:color="auto"/>
          </w:divBdr>
        </w:div>
        <w:div w:id="2026513625">
          <w:marLeft w:val="1800"/>
          <w:marRight w:val="0"/>
          <w:marTop w:val="10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4535407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09721348">
      <w:bodyDiv w:val="1"/>
      <w:marLeft w:val="0"/>
      <w:marRight w:val="0"/>
      <w:marTop w:val="0"/>
      <w:marBottom w:val="0"/>
      <w:divBdr>
        <w:top w:val="none" w:sz="0" w:space="0" w:color="auto"/>
        <w:left w:val="none" w:sz="0" w:space="0" w:color="auto"/>
        <w:bottom w:val="none" w:sz="0" w:space="0" w:color="auto"/>
        <w:right w:val="none" w:sz="0" w:space="0" w:color="auto"/>
      </w:divBdr>
      <w:divsChild>
        <w:div w:id="667513528">
          <w:marLeft w:val="1800"/>
          <w:marRight w:val="0"/>
          <w:marTop w:val="100"/>
          <w:marBottom w:val="0"/>
          <w:divBdr>
            <w:top w:val="none" w:sz="0" w:space="0" w:color="auto"/>
            <w:left w:val="none" w:sz="0" w:space="0" w:color="auto"/>
            <w:bottom w:val="none" w:sz="0" w:space="0" w:color="auto"/>
            <w:right w:val="none" w:sz="0" w:space="0" w:color="auto"/>
          </w:divBdr>
        </w:div>
        <w:div w:id="1510606260">
          <w:marLeft w:val="1800"/>
          <w:marRight w:val="0"/>
          <w:marTop w:val="100"/>
          <w:marBottom w:val="0"/>
          <w:divBdr>
            <w:top w:val="none" w:sz="0" w:space="0" w:color="auto"/>
            <w:left w:val="none" w:sz="0" w:space="0" w:color="auto"/>
            <w:bottom w:val="none" w:sz="0" w:space="0" w:color="auto"/>
            <w:right w:val="none" w:sz="0" w:space="0" w:color="auto"/>
          </w:divBdr>
        </w:div>
        <w:div w:id="1756239428">
          <w:marLeft w:val="180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87467004">
      <w:bodyDiv w:val="1"/>
      <w:marLeft w:val="0"/>
      <w:marRight w:val="0"/>
      <w:marTop w:val="0"/>
      <w:marBottom w:val="0"/>
      <w:divBdr>
        <w:top w:val="none" w:sz="0" w:space="0" w:color="auto"/>
        <w:left w:val="none" w:sz="0" w:space="0" w:color="auto"/>
        <w:bottom w:val="none" w:sz="0" w:space="0" w:color="auto"/>
        <w:right w:val="none" w:sz="0" w:space="0" w:color="auto"/>
      </w:divBdr>
      <w:divsChild>
        <w:div w:id="2091732123">
          <w:marLeft w:val="360"/>
          <w:marRight w:val="0"/>
          <w:marTop w:val="200"/>
          <w:marBottom w:val="0"/>
          <w:divBdr>
            <w:top w:val="none" w:sz="0" w:space="0" w:color="auto"/>
            <w:left w:val="none" w:sz="0" w:space="0" w:color="auto"/>
            <w:bottom w:val="none" w:sz="0" w:space="0" w:color="auto"/>
            <w:right w:val="none" w:sz="0" w:space="0" w:color="auto"/>
          </w:divBdr>
        </w:div>
        <w:div w:id="991179707">
          <w:marLeft w:val="1080"/>
          <w:marRight w:val="0"/>
          <w:marTop w:val="100"/>
          <w:marBottom w:val="0"/>
          <w:divBdr>
            <w:top w:val="none" w:sz="0" w:space="0" w:color="auto"/>
            <w:left w:val="none" w:sz="0" w:space="0" w:color="auto"/>
            <w:bottom w:val="none" w:sz="0" w:space="0" w:color="auto"/>
            <w:right w:val="none" w:sz="0" w:space="0" w:color="auto"/>
          </w:divBdr>
        </w:div>
        <w:div w:id="1853103988">
          <w:marLeft w:val="1080"/>
          <w:marRight w:val="0"/>
          <w:marTop w:val="100"/>
          <w:marBottom w:val="0"/>
          <w:divBdr>
            <w:top w:val="none" w:sz="0" w:space="0" w:color="auto"/>
            <w:left w:val="none" w:sz="0" w:space="0" w:color="auto"/>
            <w:bottom w:val="none" w:sz="0" w:space="0" w:color="auto"/>
            <w:right w:val="none" w:sz="0" w:space="0" w:color="auto"/>
          </w:divBdr>
        </w:div>
        <w:div w:id="1622028096">
          <w:marLeft w:val="1080"/>
          <w:marRight w:val="0"/>
          <w:marTop w:val="10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3237567">
      <w:bodyDiv w:val="1"/>
      <w:marLeft w:val="0"/>
      <w:marRight w:val="0"/>
      <w:marTop w:val="0"/>
      <w:marBottom w:val="0"/>
      <w:divBdr>
        <w:top w:val="none" w:sz="0" w:space="0" w:color="auto"/>
        <w:left w:val="none" w:sz="0" w:space="0" w:color="auto"/>
        <w:bottom w:val="none" w:sz="0" w:space="0" w:color="auto"/>
        <w:right w:val="none" w:sz="0" w:space="0" w:color="auto"/>
      </w:divBdr>
      <w:divsChild>
        <w:div w:id="252016773">
          <w:marLeft w:val="360"/>
          <w:marRight w:val="0"/>
          <w:marTop w:val="200"/>
          <w:marBottom w:val="0"/>
          <w:divBdr>
            <w:top w:val="none" w:sz="0" w:space="0" w:color="auto"/>
            <w:left w:val="none" w:sz="0" w:space="0" w:color="auto"/>
            <w:bottom w:val="none" w:sz="0" w:space="0" w:color="auto"/>
            <w:right w:val="none" w:sz="0" w:space="0" w:color="auto"/>
          </w:divBdr>
        </w:div>
        <w:div w:id="248200275">
          <w:marLeft w:val="1080"/>
          <w:marRight w:val="0"/>
          <w:marTop w:val="100"/>
          <w:marBottom w:val="0"/>
          <w:divBdr>
            <w:top w:val="none" w:sz="0" w:space="0" w:color="auto"/>
            <w:left w:val="none" w:sz="0" w:space="0" w:color="auto"/>
            <w:bottom w:val="none" w:sz="0" w:space="0" w:color="auto"/>
            <w:right w:val="none" w:sz="0" w:space="0" w:color="auto"/>
          </w:divBdr>
        </w:div>
        <w:div w:id="834567716">
          <w:marLeft w:val="1800"/>
          <w:marRight w:val="0"/>
          <w:marTop w:val="100"/>
          <w:marBottom w:val="0"/>
          <w:divBdr>
            <w:top w:val="none" w:sz="0" w:space="0" w:color="auto"/>
            <w:left w:val="none" w:sz="0" w:space="0" w:color="auto"/>
            <w:bottom w:val="none" w:sz="0" w:space="0" w:color="auto"/>
            <w:right w:val="none" w:sz="0" w:space="0" w:color="auto"/>
          </w:divBdr>
        </w:div>
        <w:div w:id="469709143">
          <w:marLeft w:val="1800"/>
          <w:marRight w:val="0"/>
          <w:marTop w:val="100"/>
          <w:marBottom w:val="0"/>
          <w:divBdr>
            <w:top w:val="none" w:sz="0" w:space="0" w:color="auto"/>
            <w:left w:val="none" w:sz="0" w:space="0" w:color="auto"/>
            <w:bottom w:val="none" w:sz="0" w:space="0" w:color="auto"/>
            <w:right w:val="none" w:sz="0" w:space="0" w:color="auto"/>
          </w:divBdr>
        </w:div>
        <w:div w:id="1661108179">
          <w:marLeft w:val="1080"/>
          <w:marRight w:val="0"/>
          <w:marTop w:val="100"/>
          <w:marBottom w:val="0"/>
          <w:divBdr>
            <w:top w:val="none" w:sz="0" w:space="0" w:color="auto"/>
            <w:left w:val="none" w:sz="0" w:space="0" w:color="auto"/>
            <w:bottom w:val="none" w:sz="0" w:space="0" w:color="auto"/>
            <w:right w:val="none" w:sz="0" w:space="0" w:color="auto"/>
          </w:divBdr>
        </w:div>
        <w:div w:id="370423592">
          <w:marLeft w:val="1080"/>
          <w:marRight w:val="0"/>
          <w:marTop w:val="100"/>
          <w:marBottom w:val="0"/>
          <w:divBdr>
            <w:top w:val="none" w:sz="0" w:space="0" w:color="auto"/>
            <w:left w:val="none" w:sz="0" w:space="0" w:color="auto"/>
            <w:bottom w:val="none" w:sz="0" w:space="0" w:color="auto"/>
            <w:right w:val="none" w:sz="0" w:space="0" w:color="auto"/>
          </w:divBdr>
        </w:div>
        <w:div w:id="128088266">
          <w:marLeft w:val="360"/>
          <w:marRight w:val="0"/>
          <w:marTop w:val="200"/>
          <w:marBottom w:val="0"/>
          <w:divBdr>
            <w:top w:val="none" w:sz="0" w:space="0" w:color="auto"/>
            <w:left w:val="none" w:sz="0" w:space="0" w:color="auto"/>
            <w:bottom w:val="none" w:sz="0" w:space="0" w:color="auto"/>
            <w:right w:val="none" w:sz="0" w:space="0" w:color="auto"/>
          </w:divBdr>
        </w:div>
        <w:div w:id="449393798">
          <w:marLeft w:val="1080"/>
          <w:marRight w:val="0"/>
          <w:marTop w:val="100"/>
          <w:marBottom w:val="0"/>
          <w:divBdr>
            <w:top w:val="none" w:sz="0" w:space="0" w:color="auto"/>
            <w:left w:val="none" w:sz="0" w:space="0" w:color="auto"/>
            <w:bottom w:val="none" w:sz="0" w:space="0" w:color="auto"/>
            <w:right w:val="none" w:sz="0" w:space="0" w:color="auto"/>
          </w:divBdr>
        </w:div>
        <w:div w:id="1419403175">
          <w:marLeft w:val="360"/>
          <w:marRight w:val="0"/>
          <w:marTop w:val="200"/>
          <w:marBottom w:val="0"/>
          <w:divBdr>
            <w:top w:val="none" w:sz="0" w:space="0" w:color="auto"/>
            <w:left w:val="none" w:sz="0" w:space="0" w:color="auto"/>
            <w:bottom w:val="none" w:sz="0" w:space="0" w:color="auto"/>
            <w:right w:val="none" w:sz="0" w:space="0" w:color="auto"/>
          </w:divBdr>
        </w:div>
        <w:div w:id="1182744032">
          <w:marLeft w:val="1080"/>
          <w:marRight w:val="0"/>
          <w:marTop w:val="100"/>
          <w:marBottom w:val="0"/>
          <w:divBdr>
            <w:top w:val="none" w:sz="0" w:space="0" w:color="auto"/>
            <w:left w:val="none" w:sz="0" w:space="0" w:color="auto"/>
            <w:bottom w:val="none" w:sz="0" w:space="0" w:color="auto"/>
            <w:right w:val="none" w:sz="0" w:space="0" w:color="auto"/>
          </w:divBdr>
        </w:div>
        <w:div w:id="1961648407">
          <w:marLeft w:val="1080"/>
          <w:marRight w:val="0"/>
          <w:marTop w:val="100"/>
          <w:marBottom w:val="0"/>
          <w:divBdr>
            <w:top w:val="none" w:sz="0" w:space="0" w:color="auto"/>
            <w:left w:val="none" w:sz="0" w:space="0" w:color="auto"/>
            <w:bottom w:val="none" w:sz="0" w:space="0" w:color="auto"/>
            <w:right w:val="none" w:sz="0" w:space="0" w:color="auto"/>
          </w:divBdr>
        </w:div>
        <w:div w:id="2039309341">
          <w:marLeft w:val="360"/>
          <w:marRight w:val="0"/>
          <w:marTop w:val="20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52414752">
      <w:bodyDiv w:val="1"/>
      <w:marLeft w:val="0"/>
      <w:marRight w:val="0"/>
      <w:marTop w:val="0"/>
      <w:marBottom w:val="0"/>
      <w:divBdr>
        <w:top w:val="none" w:sz="0" w:space="0" w:color="auto"/>
        <w:left w:val="none" w:sz="0" w:space="0" w:color="auto"/>
        <w:bottom w:val="none" w:sz="0" w:space="0" w:color="auto"/>
        <w:right w:val="none" w:sz="0" w:space="0" w:color="auto"/>
      </w:divBdr>
      <w:divsChild>
        <w:div w:id="1864434660">
          <w:marLeft w:val="1166"/>
          <w:marRight w:val="0"/>
          <w:marTop w:val="96"/>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60488671">
      <w:bodyDiv w:val="1"/>
      <w:marLeft w:val="0"/>
      <w:marRight w:val="0"/>
      <w:marTop w:val="0"/>
      <w:marBottom w:val="0"/>
      <w:divBdr>
        <w:top w:val="none" w:sz="0" w:space="0" w:color="auto"/>
        <w:left w:val="none" w:sz="0" w:space="0" w:color="auto"/>
        <w:bottom w:val="none" w:sz="0" w:space="0" w:color="auto"/>
        <w:right w:val="none" w:sz="0" w:space="0" w:color="auto"/>
      </w:divBdr>
      <w:divsChild>
        <w:div w:id="595285113">
          <w:marLeft w:val="360"/>
          <w:marRight w:val="0"/>
          <w:marTop w:val="200"/>
          <w:marBottom w:val="0"/>
          <w:divBdr>
            <w:top w:val="none" w:sz="0" w:space="0" w:color="auto"/>
            <w:left w:val="none" w:sz="0" w:space="0" w:color="auto"/>
            <w:bottom w:val="none" w:sz="0" w:space="0" w:color="auto"/>
            <w:right w:val="none" w:sz="0" w:space="0" w:color="auto"/>
          </w:divBdr>
        </w:div>
        <w:div w:id="1511217503">
          <w:marLeft w:val="360"/>
          <w:marRight w:val="0"/>
          <w:marTop w:val="200"/>
          <w:marBottom w:val="0"/>
          <w:divBdr>
            <w:top w:val="none" w:sz="0" w:space="0" w:color="auto"/>
            <w:left w:val="none" w:sz="0" w:space="0" w:color="auto"/>
            <w:bottom w:val="none" w:sz="0" w:space="0" w:color="auto"/>
            <w:right w:val="none" w:sz="0" w:space="0" w:color="auto"/>
          </w:divBdr>
        </w:div>
        <w:div w:id="2007785251">
          <w:marLeft w:val="1080"/>
          <w:marRight w:val="0"/>
          <w:marTop w:val="100"/>
          <w:marBottom w:val="0"/>
          <w:divBdr>
            <w:top w:val="none" w:sz="0" w:space="0" w:color="auto"/>
            <w:left w:val="none" w:sz="0" w:space="0" w:color="auto"/>
            <w:bottom w:val="none" w:sz="0" w:space="0" w:color="auto"/>
            <w:right w:val="none" w:sz="0" w:space="0" w:color="auto"/>
          </w:divBdr>
        </w:div>
        <w:div w:id="100535687">
          <w:marLeft w:val="1800"/>
          <w:marRight w:val="0"/>
          <w:marTop w:val="100"/>
          <w:marBottom w:val="0"/>
          <w:divBdr>
            <w:top w:val="none" w:sz="0" w:space="0" w:color="auto"/>
            <w:left w:val="none" w:sz="0" w:space="0" w:color="auto"/>
            <w:bottom w:val="none" w:sz="0" w:space="0" w:color="auto"/>
            <w:right w:val="none" w:sz="0" w:space="0" w:color="auto"/>
          </w:divBdr>
        </w:div>
        <w:div w:id="270094004">
          <w:marLeft w:val="1800"/>
          <w:marRight w:val="0"/>
          <w:marTop w:val="100"/>
          <w:marBottom w:val="0"/>
          <w:divBdr>
            <w:top w:val="none" w:sz="0" w:space="0" w:color="auto"/>
            <w:left w:val="none" w:sz="0" w:space="0" w:color="auto"/>
            <w:bottom w:val="none" w:sz="0" w:space="0" w:color="auto"/>
            <w:right w:val="none" w:sz="0" w:space="0" w:color="auto"/>
          </w:divBdr>
        </w:div>
        <w:div w:id="471562703">
          <w:marLeft w:val="1800"/>
          <w:marRight w:val="0"/>
          <w:marTop w:val="100"/>
          <w:marBottom w:val="0"/>
          <w:divBdr>
            <w:top w:val="none" w:sz="0" w:space="0" w:color="auto"/>
            <w:left w:val="none" w:sz="0" w:space="0" w:color="auto"/>
            <w:bottom w:val="none" w:sz="0" w:space="0" w:color="auto"/>
            <w:right w:val="none" w:sz="0" w:space="0" w:color="auto"/>
          </w:divBdr>
        </w:div>
        <w:div w:id="1584796525">
          <w:marLeft w:val="1800"/>
          <w:marRight w:val="0"/>
          <w:marTop w:val="100"/>
          <w:marBottom w:val="0"/>
          <w:divBdr>
            <w:top w:val="none" w:sz="0" w:space="0" w:color="auto"/>
            <w:left w:val="none" w:sz="0" w:space="0" w:color="auto"/>
            <w:bottom w:val="none" w:sz="0" w:space="0" w:color="auto"/>
            <w:right w:val="none" w:sz="0" w:space="0" w:color="auto"/>
          </w:divBdr>
        </w:div>
        <w:div w:id="429012281">
          <w:marLeft w:val="360"/>
          <w:marRight w:val="0"/>
          <w:marTop w:val="20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281603">
      <w:bodyDiv w:val="1"/>
      <w:marLeft w:val="0"/>
      <w:marRight w:val="0"/>
      <w:marTop w:val="0"/>
      <w:marBottom w:val="0"/>
      <w:divBdr>
        <w:top w:val="none" w:sz="0" w:space="0" w:color="auto"/>
        <w:left w:val="none" w:sz="0" w:space="0" w:color="auto"/>
        <w:bottom w:val="none" w:sz="0" w:space="0" w:color="auto"/>
        <w:right w:val="none" w:sz="0" w:space="0" w:color="auto"/>
      </w:divBdr>
      <w:divsChild>
        <w:div w:id="1844202682">
          <w:marLeft w:val="1166"/>
          <w:marRight w:val="0"/>
          <w:marTop w:val="0"/>
          <w:marBottom w:val="0"/>
          <w:divBdr>
            <w:top w:val="none" w:sz="0" w:space="0" w:color="auto"/>
            <w:left w:val="none" w:sz="0" w:space="0" w:color="auto"/>
            <w:bottom w:val="none" w:sz="0" w:space="0" w:color="auto"/>
            <w:right w:val="none" w:sz="0" w:space="0" w:color="auto"/>
          </w:divBdr>
        </w:div>
        <w:div w:id="434790821">
          <w:marLeft w:val="1166"/>
          <w:marRight w:val="0"/>
          <w:marTop w:val="0"/>
          <w:marBottom w:val="0"/>
          <w:divBdr>
            <w:top w:val="none" w:sz="0" w:space="0" w:color="auto"/>
            <w:left w:val="none" w:sz="0" w:space="0" w:color="auto"/>
            <w:bottom w:val="none" w:sz="0" w:space="0" w:color="auto"/>
            <w:right w:val="none" w:sz="0" w:space="0" w:color="auto"/>
          </w:divBdr>
        </w:div>
        <w:div w:id="555632041">
          <w:marLeft w:val="1166"/>
          <w:marRight w:val="0"/>
          <w:marTop w:val="0"/>
          <w:marBottom w:val="0"/>
          <w:divBdr>
            <w:top w:val="none" w:sz="0" w:space="0" w:color="auto"/>
            <w:left w:val="none" w:sz="0" w:space="0" w:color="auto"/>
            <w:bottom w:val="none" w:sz="0" w:space="0" w:color="auto"/>
            <w:right w:val="none" w:sz="0" w:space="0" w:color="auto"/>
          </w:divBdr>
        </w:div>
        <w:div w:id="1618028916">
          <w:marLeft w:val="1166"/>
          <w:marRight w:val="0"/>
          <w:marTop w:val="0"/>
          <w:marBottom w:val="0"/>
          <w:divBdr>
            <w:top w:val="none" w:sz="0" w:space="0" w:color="auto"/>
            <w:left w:val="none" w:sz="0" w:space="0" w:color="auto"/>
            <w:bottom w:val="none" w:sz="0" w:space="0" w:color="auto"/>
            <w:right w:val="none" w:sz="0" w:space="0" w:color="auto"/>
          </w:divBdr>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4990674">
      <w:bodyDiv w:val="1"/>
      <w:marLeft w:val="0"/>
      <w:marRight w:val="0"/>
      <w:marTop w:val="0"/>
      <w:marBottom w:val="0"/>
      <w:divBdr>
        <w:top w:val="none" w:sz="0" w:space="0" w:color="auto"/>
        <w:left w:val="none" w:sz="0" w:space="0" w:color="auto"/>
        <w:bottom w:val="none" w:sz="0" w:space="0" w:color="auto"/>
        <w:right w:val="none" w:sz="0" w:space="0" w:color="auto"/>
      </w:divBdr>
      <w:divsChild>
        <w:div w:id="1240365199">
          <w:marLeft w:val="547"/>
          <w:marRight w:val="0"/>
          <w:marTop w:val="115"/>
          <w:marBottom w:val="0"/>
          <w:divBdr>
            <w:top w:val="none" w:sz="0" w:space="0" w:color="auto"/>
            <w:left w:val="none" w:sz="0" w:space="0" w:color="auto"/>
            <w:bottom w:val="none" w:sz="0" w:space="0" w:color="auto"/>
            <w:right w:val="none" w:sz="0" w:space="0" w:color="auto"/>
          </w:divBdr>
        </w:div>
        <w:div w:id="1995406692">
          <w:marLeft w:val="1166"/>
          <w:marRight w:val="0"/>
          <w:marTop w:val="96"/>
          <w:marBottom w:val="0"/>
          <w:divBdr>
            <w:top w:val="none" w:sz="0" w:space="0" w:color="auto"/>
            <w:left w:val="none" w:sz="0" w:space="0" w:color="auto"/>
            <w:bottom w:val="none" w:sz="0" w:space="0" w:color="auto"/>
            <w:right w:val="none" w:sz="0" w:space="0" w:color="auto"/>
          </w:divBdr>
        </w:div>
        <w:div w:id="416368783">
          <w:marLeft w:val="1166"/>
          <w:marRight w:val="0"/>
          <w:marTop w:val="96"/>
          <w:marBottom w:val="0"/>
          <w:divBdr>
            <w:top w:val="none" w:sz="0" w:space="0" w:color="auto"/>
            <w:left w:val="none" w:sz="0" w:space="0" w:color="auto"/>
            <w:bottom w:val="none" w:sz="0" w:space="0" w:color="auto"/>
            <w:right w:val="none" w:sz="0" w:space="0" w:color="auto"/>
          </w:divBdr>
        </w:div>
        <w:div w:id="1694109332">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1481340">
      <w:bodyDiv w:val="1"/>
      <w:marLeft w:val="0"/>
      <w:marRight w:val="0"/>
      <w:marTop w:val="0"/>
      <w:marBottom w:val="0"/>
      <w:divBdr>
        <w:top w:val="none" w:sz="0" w:space="0" w:color="auto"/>
        <w:left w:val="none" w:sz="0" w:space="0" w:color="auto"/>
        <w:bottom w:val="none" w:sz="0" w:space="0" w:color="auto"/>
        <w:right w:val="none" w:sz="0" w:space="0" w:color="auto"/>
      </w:divBdr>
      <w:divsChild>
        <w:div w:id="1016805737">
          <w:marLeft w:val="360"/>
          <w:marRight w:val="0"/>
          <w:marTop w:val="200"/>
          <w:marBottom w:val="0"/>
          <w:divBdr>
            <w:top w:val="none" w:sz="0" w:space="0" w:color="auto"/>
            <w:left w:val="none" w:sz="0" w:space="0" w:color="auto"/>
            <w:bottom w:val="none" w:sz="0" w:space="0" w:color="auto"/>
            <w:right w:val="none" w:sz="0" w:space="0" w:color="auto"/>
          </w:divBdr>
        </w:div>
        <w:div w:id="1028145856">
          <w:marLeft w:val="1080"/>
          <w:marRight w:val="0"/>
          <w:marTop w:val="100"/>
          <w:marBottom w:val="0"/>
          <w:divBdr>
            <w:top w:val="none" w:sz="0" w:space="0" w:color="auto"/>
            <w:left w:val="none" w:sz="0" w:space="0" w:color="auto"/>
            <w:bottom w:val="none" w:sz="0" w:space="0" w:color="auto"/>
            <w:right w:val="none" w:sz="0" w:space="0" w:color="auto"/>
          </w:divBdr>
        </w:div>
        <w:div w:id="1049186026">
          <w:marLeft w:val="360"/>
          <w:marRight w:val="0"/>
          <w:marTop w:val="200"/>
          <w:marBottom w:val="0"/>
          <w:divBdr>
            <w:top w:val="none" w:sz="0" w:space="0" w:color="auto"/>
            <w:left w:val="none" w:sz="0" w:space="0" w:color="auto"/>
            <w:bottom w:val="none" w:sz="0" w:space="0" w:color="auto"/>
            <w:right w:val="none" w:sz="0" w:space="0" w:color="auto"/>
          </w:divBdr>
        </w:div>
        <w:div w:id="235633258">
          <w:marLeft w:val="1080"/>
          <w:marRight w:val="0"/>
          <w:marTop w:val="1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9108326">
      <w:bodyDiv w:val="1"/>
      <w:marLeft w:val="0"/>
      <w:marRight w:val="0"/>
      <w:marTop w:val="0"/>
      <w:marBottom w:val="0"/>
      <w:divBdr>
        <w:top w:val="none" w:sz="0" w:space="0" w:color="auto"/>
        <w:left w:val="none" w:sz="0" w:space="0" w:color="auto"/>
        <w:bottom w:val="none" w:sz="0" w:space="0" w:color="auto"/>
        <w:right w:val="none" w:sz="0" w:space="0" w:color="auto"/>
      </w:divBdr>
      <w:divsChild>
        <w:div w:id="215702656">
          <w:marLeft w:val="1080"/>
          <w:marRight w:val="0"/>
          <w:marTop w:val="100"/>
          <w:marBottom w:val="0"/>
          <w:divBdr>
            <w:top w:val="none" w:sz="0" w:space="0" w:color="auto"/>
            <w:left w:val="none" w:sz="0" w:space="0" w:color="auto"/>
            <w:bottom w:val="none" w:sz="0" w:space="0" w:color="auto"/>
            <w:right w:val="none" w:sz="0" w:space="0" w:color="auto"/>
          </w:divBdr>
        </w:div>
        <w:div w:id="1304236909">
          <w:marLeft w:val="1800"/>
          <w:marRight w:val="0"/>
          <w:marTop w:val="100"/>
          <w:marBottom w:val="0"/>
          <w:divBdr>
            <w:top w:val="none" w:sz="0" w:space="0" w:color="auto"/>
            <w:left w:val="none" w:sz="0" w:space="0" w:color="auto"/>
            <w:bottom w:val="none" w:sz="0" w:space="0" w:color="auto"/>
            <w:right w:val="none" w:sz="0" w:space="0" w:color="auto"/>
          </w:divBdr>
        </w:div>
        <w:div w:id="1355308911">
          <w:marLeft w:val="1080"/>
          <w:marRight w:val="0"/>
          <w:marTop w:val="200"/>
          <w:marBottom w:val="0"/>
          <w:divBdr>
            <w:top w:val="none" w:sz="0" w:space="0" w:color="auto"/>
            <w:left w:val="none" w:sz="0" w:space="0" w:color="auto"/>
            <w:bottom w:val="none" w:sz="0" w:space="0" w:color="auto"/>
            <w:right w:val="none" w:sz="0" w:space="0" w:color="auto"/>
          </w:divBdr>
        </w:div>
        <w:div w:id="725028087">
          <w:marLeft w:val="360"/>
          <w:marRight w:val="0"/>
          <w:marTop w:val="200"/>
          <w:marBottom w:val="0"/>
          <w:divBdr>
            <w:top w:val="none" w:sz="0" w:space="0" w:color="auto"/>
            <w:left w:val="none" w:sz="0" w:space="0" w:color="auto"/>
            <w:bottom w:val="none" w:sz="0" w:space="0" w:color="auto"/>
            <w:right w:val="none" w:sz="0" w:space="0" w:color="auto"/>
          </w:divBdr>
        </w:div>
        <w:div w:id="1638680524">
          <w:marLeft w:val="360"/>
          <w:marRight w:val="0"/>
          <w:marTop w:val="200"/>
          <w:marBottom w:val="0"/>
          <w:divBdr>
            <w:top w:val="none" w:sz="0" w:space="0" w:color="auto"/>
            <w:left w:val="none" w:sz="0" w:space="0" w:color="auto"/>
            <w:bottom w:val="none" w:sz="0" w:space="0" w:color="auto"/>
            <w:right w:val="none" w:sz="0" w:space="0" w:color="auto"/>
          </w:divBdr>
        </w:div>
        <w:div w:id="151944973">
          <w:marLeft w:val="360"/>
          <w:marRight w:val="0"/>
          <w:marTop w:val="200"/>
          <w:marBottom w:val="0"/>
          <w:divBdr>
            <w:top w:val="none" w:sz="0" w:space="0" w:color="auto"/>
            <w:left w:val="none" w:sz="0" w:space="0" w:color="auto"/>
            <w:bottom w:val="none" w:sz="0" w:space="0" w:color="auto"/>
            <w:right w:val="none" w:sz="0" w:space="0" w:color="auto"/>
          </w:divBdr>
        </w:div>
        <w:div w:id="301887030">
          <w:marLeft w:val="1080"/>
          <w:marRight w:val="0"/>
          <w:marTop w:val="100"/>
          <w:marBottom w:val="0"/>
          <w:divBdr>
            <w:top w:val="none" w:sz="0" w:space="0" w:color="auto"/>
            <w:left w:val="none" w:sz="0" w:space="0" w:color="auto"/>
            <w:bottom w:val="none" w:sz="0" w:space="0" w:color="auto"/>
            <w:right w:val="none" w:sz="0" w:space="0" w:color="auto"/>
          </w:divBdr>
        </w:div>
        <w:div w:id="227305368">
          <w:marLeft w:val="1080"/>
          <w:marRight w:val="0"/>
          <w:marTop w:val="100"/>
          <w:marBottom w:val="0"/>
          <w:divBdr>
            <w:top w:val="none" w:sz="0" w:space="0" w:color="auto"/>
            <w:left w:val="none" w:sz="0" w:space="0" w:color="auto"/>
            <w:bottom w:val="none" w:sz="0" w:space="0" w:color="auto"/>
            <w:right w:val="none" w:sz="0" w:space="0" w:color="auto"/>
          </w:divBdr>
        </w:div>
        <w:div w:id="1818450347">
          <w:marLeft w:val="360"/>
          <w:marRight w:val="0"/>
          <w:marTop w:val="200"/>
          <w:marBottom w:val="0"/>
          <w:divBdr>
            <w:top w:val="none" w:sz="0" w:space="0" w:color="auto"/>
            <w:left w:val="none" w:sz="0" w:space="0" w:color="auto"/>
            <w:bottom w:val="none" w:sz="0" w:space="0" w:color="auto"/>
            <w:right w:val="none" w:sz="0" w:space="0" w:color="auto"/>
          </w:divBdr>
        </w:div>
        <w:div w:id="2052921785">
          <w:marLeft w:val="360"/>
          <w:marRight w:val="0"/>
          <w:marTop w:val="200"/>
          <w:marBottom w:val="0"/>
          <w:divBdr>
            <w:top w:val="none" w:sz="0" w:space="0" w:color="auto"/>
            <w:left w:val="none" w:sz="0" w:space="0" w:color="auto"/>
            <w:bottom w:val="none" w:sz="0" w:space="0" w:color="auto"/>
            <w:right w:val="none" w:sz="0" w:space="0" w:color="auto"/>
          </w:divBdr>
        </w:div>
        <w:div w:id="141662658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028776-0830-4E70-922F-2B5743F52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1203</Words>
  <Characters>6859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8046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2019-10-01T15:58:00Z</dcterms:created>
  <dcterms:modified xsi:type="dcterms:W3CDTF">2020-05-15T05:15:00Z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